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46" w:tblpY="539"/>
        <w:tblOverlap w:val="never"/>
        <w:tblW w:w="40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7"/>
      </w:tblGrid>
      <w:tr w:rsidR="00FB741E" w:rsidTr="004A402C">
        <w:trPr>
          <w:trHeight w:val="15091"/>
        </w:trPr>
        <w:tc>
          <w:tcPr>
            <w:tcW w:w="4077" w:type="dxa"/>
            <w:tcBorders>
              <w:top w:val="single" w:sz="4" w:space="0" w:color="auto"/>
              <w:bottom w:val="single" w:sz="4" w:space="0" w:color="auto"/>
            </w:tcBorders>
          </w:tcPr>
          <w:p w:rsidR="00D0750D" w:rsidRDefault="00FB741E" w:rsidP="00EC6681">
            <w:bookmarkStart w:id="0" w:name="_GoBack"/>
            <w:bookmarkEnd w:id="0"/>
            <w:r>
              <w:t xml:space="preserve">    </w:t>
            </w:r>
            <w:r w:rsidR="00EB62A3">
              <w:rPr>
                <w:noProof/>
                <w:lang w:val="en-IE" w:eastAsia="en-IE"/>
              </w:rPr>
              <w:drawing>
                <wp:anchor distT="0" distB="0" distL="114300" distR="114300" simplePos="0" relativeHeight="251659264" behindDoc="1" locked="0" layoutInCell="1" allowOverlap="1" wp14:anchorId="528731FF" wp14:editId="2795DCBA">
                  <wp:simplePos x="0" y="0"/>
                  <wp:positionH relativeFrom="column">
                    <wp:posOffset>152400</wp:posOffset>
                  </wp:positionH>
                  <wp:positionV relativeFrom="paragraph">
                    <wp:posOffset>-120015</wp:posOffset>
                  </wp:positionV>
                  <wp:extent cx="1895475" cy="1724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54000"/>
                            <a:extLst>
                              <a:ext uri="{28A0092B-C50C-407E-A947-70E740481C1C}">
                                <a14:useLocalDpi xmlns:a14="http://schemas.microsoft.com/office/drawing/2010/main" val="0"/>
                              </a:ext>
                            </a:extLst>
                          </a:blip>
                          <a:srcRect/>
                          <a:stretch>
                            <a:fillRect/>
                          </a:stretch>
                        </pic:blipFill>
                        <pic:spPr bwMode="auto">
                          <a:xfrm>
                            <a:off x="0" y="0"/>
                            <a:ext cx="18954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FB741E" w:rsidRDefault="00FB741E" w:rsidP="00EC6681">
            <w:pPr>
              <w:rPr>
                <w:b/>
                <w:sz w:val="28"/>
                <w:szCs w:val="28"/>
              </w:rPr>
            </w:pPr>
            <w:r w:rsidRPr="00D0750D">
              <w:rPr>
                <w:b/>
                <w:sz w:val="28"/>
                <w:szCs w:val="28"/>
              </w:rPr>
              <w:t>Committed to providing continuing education programmes to Healthcare Professionals and the Pharmaceutical</w:t>
            </w:r>
            <w:r w:rsidR="00D0750D">
              <w:rPr>
                <w:b/>
                <w:sz w:val="28"/>
                <w:szCs w:val="28"/>
              </w:rPr>
              <w:t xml:space="preserve"> </w:t>
            </w:r>
            <w:r w:rsidRPr="00D0750D">
              <w:rPr>
                <w:b/>
                <w:sz w:val="28"/>
                <w:szCs w:val="28"/>
              </w:rPr>
              <w:t>Industry</w:t>
            </w:r>
          </w:p>
          <w:p w:rsidR="00215790" w:rsidRPr="00EC6681" w:rsidRDefault="00215790" w:rsidP="00EC6681">
            <w:pPr>
              <w:rPr>
                <w:b/>
                <w:sz w:val="28"/>
                <w:szCs w:val="28"/>
              </w:rPr>
            </w:pPr>
          </w:p>
          <w:p w:rsidR="00FB741E" w:rsidRDefault="00FB741E" w:rsidP="008D051D">
            <w:pPr>
              <w:rPr>
                <w:b/>
                <w:bCs/>
                <w:color w:val="000080"/>
                <w:sz w:val="28"/>
                <w:szCs w:val="28"/>
              </w:rPr>
            </w:pPr>
            <w:r>
              <w:rPr>
                <w:b/>
                <w:bCs/>
                <w:color w:val="000080"/>
                <w:sz w:val="28"/>
                <w:szCs w:val="28"/>
              </w:rPr>
              <w:t>Faculty:</w:t>
            </w:r>
          </w:p>
          <w:p w:rsidR="00FB741E" w:rsidRDefault="00FB741E" w:rsidP="00513093">
            <w:pPr>
              <w:rPr>
                <w:color w:val="000080"/>
                <w:sz w:val="28"/>
                <w:szCs w:val="28"/>
              </w:rPr>
            </w:pPr>
            <w:r>
              <w:rPr>
                <w:color w:val="000080"/>
                <w:sz w:val="28"/>
                <w:szCs w:val="28"/>
              </w:rPr>
              <w:t>Prof. Michael Barry</w:t>
            </w:r>
          </w:p>
          <w:p w:rsidR="00575607" w:rsidRDefault="00575607" w:rsidP="00513093">
            <w:pPr>
              <w:rPr>
                <w:color w:val="000080"/>
                <w:sz w:val="28"/>
                <w:szCs w:val="28"/>
              </w:rPr>
            </w:pPr>
            <w:r>
              <w:rPr>
                <w:color w:val="000080"/>
                <w:sz w:val="28"/>
                <w:szCs w:val="28"/>
              </w:rPr>
              <w:t>Dr. Lesley Tilson</w:t>
            </w:r>
          </w:p>
          <w:p w:rsidR="00FB741E" w:rsidRDefault="000C2AA1" w:rsidP="00EC6681">
            <w:pPr>
              <w:rPr>
                <w:color w:val="000080"/>
                <w:sz w:val="28"/>
                <w:szCs w:val="28"/>
              </w:rPr>
            </w:pPr>
            <w:r>
              <w:rPr>
                <w:color w:val="000080"/>
                <w:sz w:val="28"/>
                <w:szCs w:val="28"/>
              </w:rPr>
              <w:t>Dr</w:t>
            </w:r>
            <w:r w:rsidR="00FB741E">
              <w:rPr>
                <w:color w:val="000080"/>
                <w:sz w:val="28"/>
                <w:szCs w:val="28"/>
              </w:rPr>
              <w:t>. Emer Fogarty</w:t>
            </w:r>
          </w:p>
          <w:p w:rsidR="00FB741E" w:rsidRDefault="00FB741E" w:rsidP="00EC6681">
            <w:pPr>
              <w:rPr>
                <w:color w:val="000080"/>
                <w:sz w:val="28"/>
                <w:szCs w:val="28"/>
              </w:rPr>
            </w:pPr>
            <w:r>
              <w:rPr>
                <w:color w:val="000080"/>
                <w:sz w:val="28"/>
                <w:szCs w:val="28"/>
              </w:rPr>
              <w:t>Dr. Laura McCullagh</w:t>
            </w:r>
          </w:p>
          <w:p w:rsidR="00FB741E" w:rsidRDefault="00FB741E" w:rsidP="00EC6681">
            <w:pPr>
              <w:rPr>
                <w:color w:val="000080"/>
                <w:sz w:val="28"/>
                <w:szCs w:val="28"/>
              </w:rPr>
            </w:pPr>
            <w:r>
              <w:rPr>
                <w:color w:val="000080"/>
                <w:sz w:val="28"/>
                <w:szCs w:val="28"/>
              </w:rPr>
              <w:t>Dr. Aisling O’Leary</w:t>
            </w:r>
          </w:p>
          <w:p w:rsidR="00FB741E" w:rsidRDefault="00521185" w:rsidP="00EC6681">
            <w:pPr>
              <w:rPr>
                <w:color w:val="000080"/>
                <w:sz w:val="28"/>
                <w:szCs w:val="28"/>
              </w:rPr>
            </w:pPr>
            <w:r>
              <w:rPr>
                <w:color w:val="000080"/>
                <w:sz w:val="28"/>
                <w:szCs w:val="28"/>
              </w:rPr>
              <w:t>Ms. Claire Gorry</w:t>
            </w:r>
          </w:p>
          <w:p w:rsidR="00FB741E" w:rsidRDefault="00FB741E" w:rsidP="00EC6681">
            <w:pPr>
              <w:rPr>
                <w:color w:val="000080"/>
                <w:sz w:val="28"/>
                <w:szCs w:val="28"/>
              </w:rPr>
            </w:pPr>
            <w:r>
              <w:rPr>
                <w:color w:val="000080"/>
                <w:sz w:val="28"/>
                <w:szCs w:val="28"/>
              </w:rPr>
              <w:t xml:space="preserve">Dr. </w:t>
            </w:r>
            <w:smartTag w:uri="urn:schemas-microsoft-com:office:smarttags" w:element="PersonName">
              <w:r>
                <w:rPr>
                  <w:color w:val="000080"/>
                  <w:sz w:val="28"/>
                  <w:szCs w:val="28"/>
                </w:rPr>
                <w:t>Cara Usher</w:t>
              </w:r>
            </w:smartTag>
            <w:r>
              <w:rPr>
                <w:color w:val="000080"/>
                <w:sz w:val="28"/>
                <w:szCs w:val="28"/>
              </w:rPr>
              <w:t xml:space="preserve"> </w:t>
            </w:r>
          </w:p>
          <w:p w:rsidR="00BB403C" w:rsidRDefault="00FB741E" w:rsidP="00EC6681">
            <w:pPr>
              <w:rPr>
                <w:color w:val="000080"/>
                <w:sz w:val="28"/>
                <w:szCs w:val="28"/>
              </w:rPr>
            </w:pPr>
            <w:r>
              <w:rPr>
                <w:color w:val="000080"/>
                <w:sz w:val="28"/>
                <w:szCs w:val="28"/>
              </w:rPr>
              <w:t>Prof. Cathal Walsh</w:t>
            </w:r>
          </w:p>
          <w:p w:rsidR="00FB741E" w:rsidRDefault="00521185" w:rsidP="00EC6681">
            <w:pPr>
              <w:rPr>
                <w:color w:val="000080"/>
                <w:sz w:val="28"/>
                <w:szCs w:val="28"/>
              </w:rPr>
            </w:pPr>
            <w:r>
              <w:rPr>
                <w:color w:val="000080"/>
                <w:sz w:val="28"/>
                <w:szCs w:val="28"/>
              </w:rPr>
              <w:t>Ms. Helen O’Donnell</w:t>
            </w:r>
          </w:p>
          <w:p w:rsidR="00521185" w:rsidRDefault="00521185" w:rsidP="00EC6681">
            <w:pPr>
              <w:rPr>
                <w:color w:val="000080"/>
                <w:sz w:val="28"/>
                <w:szCs w:val="28"/>
              </w:rPr>
            </w:pPr>
            <w:r>
              <w:rPr>
                <w:color w:val="000080"/>
                <w:sz w:val="28"/>
                <w:szCs w:val="28"/>
              </w:rPr>
              <w:t>Mr. Arthur White</w:t>
            </w:r>
          </w:p>
          <w:p w:rsidR="00521185" w:rsidRDefault="00521185" w:rsidP="00EC6681">
            <w:pPr>
              <w:rPr>
                <w:color w:val="000080"/>
                <w:sz w:val="28"/>
                <w:szCs w:val="28"/>
              </w:rPr>
            </w:pPr>
            <w:r>
              <w:rPr>
                <w:color w:val="000080"/>
                <w:sz w:val="28"/>
                <w:szCs w:val="28"/>
              </w:rPr>
              <w:t>Ms. Caitriona Ni Choitir</w:t>
            </w:r>
          </w:p>
          <w:p w:rsidR="00AC4DC8" w:rsidRDefault="00AC4DC8" w:rsidP="00EC6681">
            <w:pPr>
              <w:rPr>
                <w:color w:val="000080"/>
                <w:sz w:val="28"/>
                <w:szCs w:val="28"/>
              </w:rPr>
            </w:pPr>
            <w:r>
              <w:rPr>
                <w:color w:val="000080"/>
                <w:sz w:val="28"/>
                <w:szCs w:val="28"/>
              </w:rPr>
              <w:t>Dr. Felicity Lamrock</w:t>
            </w:r>
          </w:p>
          <w:p w:rsidR="00FB741E" w:rsidRDefault="00FB741E" w:rsidP="00EC6681">
            <w:pPr>
              <w:rPr>
                <w:color w:val="000080"/>
                <w:sz w:val="28"/>
                <w:szCs w:val="28"/>
              </w:rPr>
            </w:pPr>
          </w:p>
          <w:p w:rsidR="00FB741E" w:rsidRPr="00394BA8" w:rsidRDefault="00FB741E" w:rsidP="00EC6681">
            <w:pPr>
              <w:rPr>
                <w:b/>
                <w:color w:val="000080"/>
                <w:sz w:val="28"/>
                <w:szCs w:val="28"/>
              </w:rPr>
            </w:pPr>
            <w:r w:rsidRPr="00394BA8">
              <w:rPr>
                <w:b/>
                <w:color w:val="000080"/>
                <w:sz w:val="28"/>
                <w:szCs w:val="28"/>
              </w:rPr>
              <w:t>Guest Speakers:</w:t>
            </w:r>
          </w:p>
          <w:p w:rsidR="006012CB" w:rsidRDefault="00E43AF6" w:rsidP="00EC6681">
            <w:pPr>
              <w:rPr>
                <w:color w:val="000080"/>
                <w:sz w:val="28"/>
                <w:szCs w:val="28"/>
              </w:rPr>
            </w:pPr>
            <w:r>
              <w:rPr>
                <w:color w:val="000080"/>
                <w:sz w:val="28"/>
                <w:szCs w:val="28"/>
              </w:rPr>
              <w:t>TBC</w:t>
            </w:r>
          </w:p>
          <w:p w:rsidR="00FB741E" w:rsidRDefault="00FB741E" w:rsidP="00EC6681">
            <w:pPr>
              <w:rPr>
                <w:b/>
                <w:bCs/>
                <w:sz w:val="28"/>
                <w:szCs w:val="28"/>
              </w:rPr>
            </w:pPr>
          </w:p>
          <w:p w:rsidR="00FB741E" w:rsidRDefault="00FB741E" w:rsidP="00EC6681">
            <w:pPr>
              <w:rPr>
                <w:b/>
                <w:bCs/>
                <w:sz w:val="28"/>
                <w:szCs w:val="28"/>
              </w:rPr>
            </w:pPr>
            <w:r>
              <w:rPr>
                <w:b/>
                <w:bCs/>
                <w:sz w:val="28"/>
                <w:szCs w:val="28"/>
              </w:rPr>
              <w:t>Course suitable for all professionals working in the primary and secondary healthcare sectors and allied services including the pharmaceutical industry</w:t>
            </w:r>
          </w:p>
          <w:p w:rsidR="00FB741E" w:rsidRDefault="00FB741E" w:rsidP="00EC6681">
            <w:pPr>
              <w:jc w:val="center"/>
              <w:rPr>
                <w:b/>
                <w:bCs/>
                <w:sz w:val="28"/>
                <w:szCs w:val="28"/>
              </w:rPr>
            </w:pPr>
          </w:p>
          <w:p w:rsidR="00FB741E" w:rsidRDefault="00FB741E" w:rsidP="00EC6681">
            <w:pPr>
              <w:jc w:val="center"/>
              <w:rPr>
                <w:b/>
                <w:bCs/>
                <w:szCs w:val="28"/>
              </w:rPr>
            </w:pPr>
            <w:r>
              <w:rPr>
                <w:b/>
                <w:bCs/>
                <w:color w:val="000080"/>
                <w:szCs w:val="28"/>
              </w:rPr>
              <w:t>Further details on content of course available from Centre (see back for contact details)</w:t>
            </w:r>
          </w:p>
          <w:p w:rsidR="00FB741E" w:rsidRDefault="00FB741E" w:rsidP="00EC6681">
            <w:pPr>
              <w:jc w:val="center"/>
              <w:rPr>
                <w:b/>
                <w:bCs/>
                <w:sz w:val="28"/>
                <w:szCs w:val="28"/>
              </w:rPr>
            </w:pPr>
          </w:p>
          <w:p w:rsidR="00FB741E" w:rsidRDefault="00FB741E" w:rsidP="00E4568E">
            <w:pPr>
              <w:pStyle w:val="Heading4"/>
              <w:rPr>
                <w:color w:val="FF0000"/>
              </w:rPr>
            </w:pPr>
            <w:r>
              <w:rPr>
                <w:color w:val="FF0000"/>
              </w:rPr>
              <w:t>Booking form on back</w:t>
            </w:r>
          </w:p>
          <w:p w:rsidR="00FB741E" w:rsidRDefault="00FB741E" w:rsidP="00EC6681">
            <w:pPr>
              <w:rPr>
                <w:sz w:val="28"/>
                <w:szCs w:val="28"/>
              </w:rPr>
            </w:pPr>
          </w:p>
        </w:tc>
      </w:tr>
    </w:tbl>
    <w:p w:rsidR="00FB741E" w:rsidRDefault="00FB741E" w:rsidP="00EC6681">
      <w:pPr>
        <w:pStyle w:val="BodyText"/>
        <w:ind w:left="2160"/>
        <w:jc w:val="center"/>
        <w:outlineLvl w:val="0"/>
        <w:rPr>
          <w:color w:val="000080"/>
          <w:sz w:val="32"/>
          <w:szCs w:val="32"/>
        </w:rPr>
      </w:pPr>
    </w:p>
    <w:p w:rsidR="00FB741E" w:rsidRPr="00EC6681" w:rsidRDefault="00D0750D" w:rsidP="00007E65">
      <w:pPr>
        <w:pStyle w:val="BodyText"/>
        <w:ind w:left="2160"/>
        <w:outlineLvl w:val="0"/>
        <w:rPr>
          <w:color w:val="000080"/>
          <w:sz w:val="32"/>
          <w:szCs w:val="32"/>
        </w:rPr>
      </w:pPr>
      <w:r>
        <w:rPr>
          <w:color w:val="000080"/>
          <w:sz w:val="32"/>
          <w:szCs w:val="32"/>
        </w:rPr>
        <w:br/>
      </w:r>
      <w:r w:rsidR="00FB741E" w:rsidRPr="00EC6681">
        <w:rPr>
          <w:color w:val="000080"/>
          <w:sz w:val="32"/>
          <w:szCs w:val="32"/>
        </w:rPr>
        <w:t>National Centre for Pharmacoeconomics</w:t>
      </w:r>
    </w:p>
    <w:p w:rsidR="00FB741E" w:rsidRDefault="00FB741E">
      <w:pPr>
        <w:pStyle w:val="BodyText"/>
        <w:rPr>
          <w:color w:val="000080"/>
          <w:sz w:val="28"/>
          <w:szCs w:val="28"/>
        </w:rPr>
      </w:pPr>
    </w:p>
    <w:p w:rsidR="00FB741E" w:rsidRDefault="00FB741E">
      <w:pPr>
        <w:pStyle w:val="BodyText"/>
        <w:outlineLvl w:val="0"/>
        <w:rPr>
          <w:rFonts w:ascii="Monotype Corsiva" w:hAnsi="Monotype Corsiva"/>
          <w:b w:val="0"/>
          <w:bCs w:val="0"/>
          <w:color w:val="000080"/>
          <w:sz w:val="32"/>
          <w:szCs w:val="28"/>
        </w:rPr>
      </w:pPr>
      <w:r>
        <w:rPr>
          <w:rFonts w:ascii="Monotype Corsiva" w:hAnsi="Monotype Corsiva"/>
          <w:b w:val="0"/>
          <w:bCs w:val="0"/>
          <w:color w:val="000080"/>
          <w:sz w:val="32"/>
          <w:szCs w:val="28"/>
        </w:rPr>
        <w:t>Update on Pharmacoeconomics in the Irish Healthcare Setting</w:t>
      </w:r>
      <w:r w:rsidR="004A1A8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(Course ref 201</w:t>
      </w:r>
      <w:r w:rsidR="006012CB">
        <w:rPr>
          <w:rFonts w:ascii="Monotype Corsiva" w:hAnsi="Monotype Corsiva"/>
          <w:b w:val="0"/>
          <w:bCs w:val="0"/>
          <w:color w:val="000080"/>
          <w:sz w:val="32"/>
          <w:szCs w:val="28"/>
        </w:rPr>
        <w:t>8</w:t>
      </w:r>
      <w:r>
        <w:rPr>
          <w:rFonts w:ascii="Monotype Corsiva" w:hAnsi="Monotype Corsiva"/>
          <w:b w:val="0"/>
          <w:bCs w:val="0"/>
          <w:color w:val="000080"/>
          <w:sz w:val="32"/>
          <w:szCs w:val="28"/>
        </w:rPr>
        <w:t>/</w:t>
      </w:r>
      <w:r w:rsidR="006012CB">
        <w:rPr>
          <w:rFonts w:ascii="Monotype Corsiva" w:hAnsi="Monotype Corsiva"/>
          <w:b w:val="0"/>
          <w:bCs w:val="0"/>
          <w:color w:val="000080"/>
          <w:sz w:val="32"/>
          <w:szCs w:val="28"/>
        </w:rPr>
        <w:t>07)</w:t>
      </w:r>
    </w:p>
    <w:p w:rsidR="00FB741E" w:rsidRDefault="00FB741E">
      <w:pPr>
        <w:pStyle w:val="BodyText"/>
        <w:rPr>
          <w:rFonts w:ascii="Monotype Corsiva" w:hAnsi="Monotype Corsiva"/>
          <w:b w:val="0"/>
          <w:bCs w:val="0"/>
          <w:color w:val="000080"/>
          <w:sz w:val="32"/>
          <w:szCs w:val="28"/>
        </w:rPr>
      </w:pPr>
    </w:p>
    <w:p w:rsidR="00FB741E" w:rsidRDefault="006012CB">
      <w:pPr>
        <w:pStyle w:val="BodyText"/>
        <w:ind w:right="-694"/>
        <w:outlineLvl w:val="0"/>
        <w:rPr>
          <w:rFonts w:ascii="Monotype Corsiva" w:hAnsi="Monotype Corsiva"/>
          <w:b w:val="0"/>
          <w:bCs w:val="0"/>
          <w:color w:val="000080"/>
          <w:sz w:val="32"/>
          <w:szCs w:val="28"/>
        </w:rPr>
      </w:pPr>
      <w:r>
        <w:rPr>
          <w:rFonts w:ascii="Monotype Corsiva" w:hAnsi="Monotype Corsiva"/>
          <w:b w:val="0"/>
          <w:bCs w:val="0"/>
          <w:color w:val="000080"/>
          <w:sz w:val="32"/>
          <w:szCs w:val="28"/>
        </w:rPr>
        <w:t>Wednesday 21st</w:t>
      </w:r>
      <w:r w:rsidR="00FB741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w:t>
      </w:r>
      <w:r w:rsidR="00FB741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Thursday 22nd</w:t>
      </w:r>
      <w:r w:rsidR="00FB741E">
        <w:rPr>
          <w:rFonts w:ascii="Monotype Corsiva" w:hAnsi="Monotype Corsiva"/>
          <w:b w:val="0"/>
          <w:bCs w:val="0"/>
          <w:color w:val="000080"/>
          <w:sz w:val="32"/>
          <w:szCs w:val="28"/>
        </w:rPr>
        <w:t xml:space="preserve"> March 201</w:t>
      </w:r>
      <w:r>
        <w:rPr>
          <w:rFonts w:ascii="Monotype Corsiva" w:hAnsi="Monotype Corsiva"/>
          <w:b w:val="0"/>
          <w:bCs w:val="0"/>
          <w:color w:val="000080"/>
          <w:sz w:val="32"/>
          <w:szCs w:val="28"/>
        </w:rPr>
        <w:t>8</w:t>
      </w:r>
    </w:p>
    <w:p w:rsidR="00FB741E" w:rsidRDefault="00FB741E">
      <w:pPr>
        <w:pStyle w:val="BodyText"/>
        <w:outlineLvl w:val="0"/>
        <w:rPr>
          <w:rFonts w:ascii="Monotype Corsiva" w:hAnsi="Monotype Corsiva"/>
          <w:color w:val="333399"/>
          <w:sz w:val="32"/>
          <w:szCs w:val="28"/>
        </w:rPr>
      </w:pPr>
      <w:r>
        <w:rPr>
          <w:rFonts w:ascii="Monotype Corsiva" w:hAnsi="Monotype Corsiva"/>
          <w:b w:val="0"/>
          <w:bCs w:val="0"/>
          <w:color w:val="000080"/>
          <w:sz w:val="32"/>
          <w:szCs w:val="28"/>
        </w:rPr>
        <w:t xml:space="preserve">Venue – </w:t>
      </w:r>
      <w:r w:rsidR="006012CB">
        <w:rPr>
          <w:rFonts w:ascii="Monotype Corsiva" w:hAnsi="Monotype Corsiva"/>
          <w:b w:val="0"/>
          <w:bCs w:val="0"/>
          <w:color w:val="000080"/>
          <w:sz w:val="32"/>
          <w:szCs w:val="28"/>
        </w:rPr>
        <w:t>Dublin Castle, Dublin 2.</w:t>
      </w:r>
    </w:p>
    <w:p w:rsidR="00FB741E" w:rsidRDefault="00EB62A3">
      <w:pPr>
        <w:rPr>
          <w:sz w:val="28"/>
          <w:szCs w:val="28"/>
        </w:rPr>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127000</wp:posOffset>
                </wp:positionV>
                <wp:extent cx="5600700" cy="0"/>
                <wp:effectExtent l="10160"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pt" to="437.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H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pe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"/>
            </w:pict>
          </mc:Fallback>
        </mc:AlternateContent>
      </w:r>
    </w:p>
    <w:p w:rsidR="00FB741E" w:rsidRDefault="00FB741E">
      <w:pPr>
        <w:jc w:val="both"/>
        <w:rPr>
          <w:sz w:val="28"/>
          <w:szCs w:val="28"/>
        </w:rPr>
      </w:pPr>
      <w:r>
        <w:rPr>
          <w:sz w:val="28"/>
          <w:szCs w:val="28"/>
        </w:rPr>
        <w:t xml:space="preserve">Expenditure on medicines has greatly increased worldwide in recent years. This translates into a four-fold rise over the last 10 years in </w:t>
      </w:r>
      <w:smartTag w:uri="urn:schemas-microsoft-com:office:smarttags" w:element="place">
        <w:smartTag w:uri="urn:schemas-microsoft-com:office:smarttags" w:element="country-region">
          <w:r>
            <w:rPr>
              <w:sz w:val="28"/>
              <w:szCs w:val="28"/>
            </w:rPr>
            <w:t>Ireland</w:t>
          </w:r>
        </w:smartTag>
      </w:smartTag>
      <w:r>
        <w:rPr>
          <w:sz w:val="28"/>
          <w:szCs w:val="28"/>
        </w:rPr>
        <w:t>. The reasons for such growth include the prescribing of newer more expensive medicines as well as the growth in the overall number of prescription items. The focus of concern for decision makers, healthcare professionals and the public should be the value derived from drug therapy rather than drug expenditure alone. Pharmacoeconomics is that branch of health economics that focuses on the costs and benefits of drug therapy. In the context of limited healthcare budgets, pharmacoeconomics can greatly facilitate optimum use of limited resources. This introductory course will cover all aspects of pharmacoeconomics including:</w:t>
      </w:r>
    </w:p>
    <w:p w:rsidR="00FB741E" w:rsidRDefault="00FB741E">
      <w:pPr>
        <w:jc w:val="both"/>
        <w:rPr>
          <w:sz w:val="28"/>
          <w:szCs w:val="28"/>
        </w:rPr>
      </w:pPr>
    </w:p>
    <w:p w:rsidR="00FB741E" w:rsidRPr="00513093" w:rsidRDefault="00FB741E" w:rsidP="00B51880">
      <w:pPr>
        <w:numPr>
          <w:ilvl w:val="0"/>
          <w:numId w:val="1"/>
        </w:numPr>
        <w:jc w:val="both"/>
        <w:rPr>
          <w:b/>
          <w:bCs/>
          <w:i/>
          <w:iCs/>
          <w:color w:val="000080"/>
          <w:sz w:val="28"/>
          <w:szCs w:val="28"/>
        </w:rPr>
      </w:pPr>
      <w:r>
        <w:rPr>
          <w:b/>
          <w:bCs/>
          <w:i/>
          <w:iCs/>
          <w:color w:val="000080"/>
          <w:sz w:val="28"/>
          <w:szCs w:val="28"/>
        </w:rPr>
        <w:t xml:space="preserve">Stakeholder discussion (HSE, Pharma, </w:t>
      </w:r>
      <w:r w:rsidR="00BB403C">
        <w:rPr>
          <w:b/>
          <w:bCs/>
          <w:i/>
          <w:iCs/>
          <w:color w:val="000080"/>
          <w:sz w:val="28"/>
          <w:szCs w:val="28"/>
        </w:rPr>
        <w:t xml:space="preserve">  </w:t>
      </w:r>
      <w:r>
        <w:rPr>
          <w:b/>
          <w:bCs/>
          <w:i/>
          <w:iCs/>
          <w:color w:val="000080"/>
          <w:sz w:val="28"/>
          <w:szCs w:val="28"/>
        </w:rPr>
        <w:t>hospital)</w:t>
      </w:r>
    </w:p>
    <w:p w:rsidR="00FB741E" w:rsidRPr="00513093" w:rsidRDefault="00FB741E" w:rsidP="00B51880">
      <w:pPr>
        <w:numPr>
          <w:ilvl w:val="0"/>
          <w:numId w:val="1"/>
        </w:numPr>
        <w:jc w:val="both"/>
        <w:rPr>
          <w:b/>
          <w:bCs/>
          <w:i/>
          <w:iCs/>
          <w:sz w:val="28"/>
          <w:szCs w:val="28"/>
        </w:rPr>
      </w:pPr>
      <w:r>
        <w:rPr>
          <w:b/>
          <w:bCs/>
          <w:i/>
          <w:iCs/>
          <w:color w:val="000080"/>
          <w:sz w:val="28"/>
          <w:szCs w:val="28"/>
        </w:rPr>
        <w:t>Role of pharmacoeconomics in decision making at national and international level</w:t>
      </w:r>
    </w:p>
    <w:p w:rsidR="00FB741E" w:rsidRPr="00B51880" w:rsidRDefault="00FB741E" w:rsidP="00B51880">
      <w:pPr>
        <w:numPr>
          <w:ilvl w:val="0"/>
          <w:numId w:val="1"/>
        </w:numPr>
        <w:jc w:val="both"/>
        <w:rPr>
          <w:b/>
          <w:bCs/>
          <w:i/>
          <w:iCs/>
          <w:sz w:val="28"/>
          <w:szCs w:val="28"/>
        </w:rPr>
      </w:pPr>
      <w:r>
        <w:rPr>
          <w:b/>
          <w:bCs/>
          <w:i/>
          <w:iCs/>
          <w:color w:val="000080"/>
          <w:sz w:val="28"/>
          <w:szCs w:val="28"/>
        </w:rPr>
        <w:t>HSE reimbursement decisions – Payer and pharmaceutical industry perspectives on reimbursement</w:t>
      </w:r>
    </w:p>
    <w:p w:rsidR="00FB741E" w:rsidRDefault="00FB741E">
      <w:pPr>
        <w:numPr>
          <w:ilvl w:val="0"/>
          <w:numId w:val="1"/>
        </w:numPr>
        <w:jc w:val="both"/>
        <w:rPr>
          <w:b/>
          <w:bCs/>
          <w:i/>
          <w:iCs/>
          <w:color w:val="000080"/>
          <w:sz w:val="28"/>
          <w:szCs w:val="28"/>
        </w:rPr>
      </w:pPr>
      <w:r>
        <w:rPr>
          <w:b/>
          <w:bCs/>
          <w:i/>
          <w:iCs/>
          <w:color w:val="000080"/>
          <w:sz w:val="28"/>
          <w:szCs w:val="28"/>
        </w:rPr>
        <w:t>Methods of economic evaluation</w:t>
      </w:r>
    </w:p>
    <w:p w:rsidR="00FB741E" w:rsidRDefault="00FB741E">
      <w:pPr>
        <w:numPr>
          <w:ilvl w:val="0"/>
          <w:numId w:val="1"/>
        </w:numPr>
        <w:jc w:val="both"/>
        <w:rPr>
          <w:b/>
          <w:bCs/>
          <w:i/>
          <w:iCs/>
          <w:color w:val="000080"/>
          <w:sz w:val="28"/>
          <w:szCs w:val="28"/>
        </w:rPr>
      </w:pPr>
      <w:r>
        <w:rPr>
          <w:b/>
          <w:bCs/>
          <w:i/>
          <w:iCs/>
          <w:color w:val="000080"/>
          <w:sz w:val="28"/>
          <w:szCs w:val="28"/>
        </w:rPr>
        <w:t>Practical application of pharmacoeconomic principles</w:t>
      </w:r>
    </w:p>
    <w:p w:rsidR="00FB741E" w:rsidRDefault="00FB741E">
      <w:pPr>
        <w:numPr>
          <w:ilvl w:val="0"/>
          <w:numId w:val="1"/>
        </w:numPr>
        <w:jc w:val="both"/>
        <w:rPr>
          <w:b/>
          <w:bCs/>
          <w:i/>
          <w:iCs/>
          <w:color w:val="000080"/>
          <w:sz w:val="28"/>
          <w:szCs w:val="28"/>
        </w:rPr>
      </w:pPr>
      <w:r>
        <w:rPr>
          <w:b/>
          <w:bCs/>
          <w:i/>
          <w:iCs/>
          <w:color w:val="000080"/>
          <w:sz w:val="28"/>
          <w:szCs w:val="28"/>
        </w:rPr>
        <w:t>Pharmaceutical pricing and reimbursement</w:t>
      </w:r>
      <w:r w:rsidR="000C2AA1">
        <w:rPr>
          <w:b/>
          <w:bCs/>
          <w:i/>
          <w:iCs/>
          <w:color w:val="000080"/>
          <w:sz w:val="28"/>
          <w:szCs w:val="28"/>
        </w:rPr>
        <w:t>, recent cost-containment measures</w:t>
      </w:r>
    </w:p>
    <w:p w:rsidR="00FB741E" w:rsidRDefault="00FB741E">
      <w:pPr>
        <w:tabs>
          <w:tab w:val="left" w:pos="8280"/>
        </w:tabs>
        <w:ind w:left="360" w:right="-514"/>
        <w:jc w:val="both"/>
        <w:rPr>
          <w:b/>
          <w:bCs/>
          <w:i/>
          <w:iCs/>
          <w:szCs w:val="28"/>
        </w:rPr>
      </w:pPr>
    </w:p>
    <w:p w:rsidR="00FB741E" w:rsidRDefault="00FB741E">
      <w:pPr>
        <w:pStyle w:val="BodyText3"/>
        <w:jc w:val="both"/>
        <w:rPr>
          <w:sz w:val="28"/>
          <w:szCs w:val="28"/>
        </w:rPr>
      </w:pPr>
      <w:r>
        <w:rPr>
          <w:sz w:val="28"/>
          <w:szCs w:val="28"/>
        </w:rPr>
        <w:t xml:space="preserve">This two-day training course will be led by experts from the National Centre for Pharmacoeconomics and </w:t>
      </w:r>
      <w:smartTag w:uri="urn:schemas-microsoft-com:office:smarttags" w:element="PlaceName">
        <w:r>
          <w:rPr>
            <w:sz w:val="28"/>
            <w:szCs w:val="28"/>
          </w:rPr>
          <w:t>Trinity</w:t>
        </w:r>
      </w:smartTag>
      <w:r>
        <w:rPr>
          <w:sz w:val="28"/>
          <w:szCs w:val="28"/>
        </w:rPr>
        <w:t xml:space="preserve"> </w:t>
      </w:r>
      <w:smartTag w:uri="urn:schemas-microsoft-com:office:smarttags" w:element="PlaceType">
        <w:r>
          <w:rPr>
            <w:sz w:val="28"/>
            <w:szCs w:val="28"/>
          </w:rPr>
          <w:t>College</w:t>
        </w:r>
      </w:smartTag>
      <w:r>
        <w:rPr>
          <w:sz w:val="28"/>
          <w:szCs w:val="28"/>
        </w:rPr>
        <w:t xml:space="preserve"> </w:t>
      </w:r>
      <w:smartTag w:uri="urn:schemas-microsoft-com:office:smarttags" w:element="place">
        <w:smartTag w:uri="urn:schemas-microsoft-com:office:smarttags" w:element="City">
          <w:r>
            <w:rPr>
              <w:sz w:val="28"/>
              <w:szCs w:val="28"/>
            </w:rPr>
            <w:t>Dublin</w:t>
          </w:r>
        </w:smartTag>
      </w:smartTag>
      <w:r>
        <w:rPr>
          <w:sz w:val="28"/>
          <w:szCs w:val="28"/>
        </w:rPr>
        <w:t xml:space="preserve">. </w:t>
      </w:r>
    </w:p>
    <w:p w:rsidR="00FB741E" w:rsidRDefault="00FB741E">
      <w:pPr>
        <w:sectPr w:rsidR="00FB741E" w:rsidSect="00007E65">
          <w:pgSz w:w="11906" w:h="16838"/>
          <w:pgMar w:top="360" w:right="991" w:bottom="899" w:left="1797" w:header="709" w:footer="709" w:gutter="0"/>
          <w:cols w:space="708"/>
          <w:docGrid w:linePitch="360"/>
        </w:sectPr>
      </w:pP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outlineLvl w:val="0"/>
        <w:rPr>
          <w:b/>
          <w:bCs/>
          <w:color w:val="000080"/>
          <w:sz w:val="28"/>
          <w:szCs w:val="28"/>
        </w:rPr>
      </w:pPr>
      <w:r w:rsidRPr="006B6840">
        <w:rPr>
          <w:b/>
          <w:bCs/>
          <w:color w:val="000080"/>
          <w:sz w:val="28"/>
          <w:szCs w:val="28"/>
        </w:rPr>
        <w:lastRenderedPageBreak/>
        <w:t>National Centre for Pharmacoeconomics,</w:t>
      </w: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b/>
          <w:bCs/>
          <w:color w:val="000080"/>
          <w:sz w:val="28"/>
          <w:szCs w:val="28"/>
        </w:rPr>
      </w:pPr>
      <w:r w:rsidRPr="006B6840">
        <w:rPr>
          <w:b/>
          <w:bCs/>
          <w:color w:val="000080"/>
          <w:sz w:val="28"/>
          <w:szCs w:val="28"/>
        </w:rPr>
        <w:t xml:space="preserve">St James’s Hospital, </w:t>
      </w:r>
      <w:smartTag w:uri="urn:schemas-microsoft-com:office:smarttags" w:element="place">
        <w:smartTag w:uri="urn:schemas-microsoft-com:office:smarttags" w:element="City">
          <w:r w:rsidRPr="006B6840">
            <w:rPr>
              <w:b/>
              <w:bCs/>
              <w:color w:val="000080"/>
              <w:sz w:val="28"/>
              <w:szCs w:val="28"/>
            </w:rPr>
            <w:t>Dublin</w:t>
          </w:r>
        </w:smartTag>
      </w:smartTag>
      <w:r w:rsidRPr="006B6840">
        <w:rPr>
          <w:b/>
          <w:bCs/>
          <w:color w:val="000080"/>
          <w:sz w:val="28"/>
          <w:szCs w:val="28"/>
        </w:rPr>
        <w:t xml:space="preserve"> 8</w:t>
      </w: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b/>
          <w:bCs/>
          <w:color w:val="000080"/>
          <w:sz w:val="28"/>
          <w:szCs w:val="28"/>
        </w:rPr>
      </w:pPr>
      <w:r w:rsidRPr="006B6840">
        <w:rPr>
          <w:b/>
          <w:bCs/>
          <w:color w:val="000080"/>
          <w:sz w:val="28"/>
          <w:szCs w:val="28"/>
        </w:rPr>
        <w:t>Ph: 01 4103427    fax:  01 4730596    email: info@ncpe.ie</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b/>
          <w:bCs/>
          <w:color w:val="333399"/>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outlineLvl w:val="0"/>
        <w:rPr>
          <w:b/>
          <w:bCs/>
          <w:sz w:val="20"/>
          <w:szCs w:val="20"/>
        </w:rPr>
      </w:pPr>
      <w:r>
        <w:rPr>
          <w:b/>
          <w:bCs/>
          <w:sz w:val="20"/>
          <w:szCs w:val="20"/>
        </w:rPr>
        <w:t xml:space="preserve">BOOKING FORM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sz w:val="20"/>
          <w:szCs w:val="20"/>
        </w:rPr>
        <w:t>Course Reference</w:t>
      </w:r>
      <w:r>
        <w:rPr>
          <w:b/>
          <w:sz w:val="20"/>
          <w:szCs w:val="20"/>
        </w:rPr>
        <w:t xml:space="preserve">:                 </w:t>
      </w:r>
      <w:r w:rsidR="006012CB">
        <w:rPr>
          <w:b/>
          <w:bCs/>
          <w:sz w:val="20"/>
          <w:szCs w:val="20"/>
        </w:rPr>
        <w:t>2018/07</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b/>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Surname:</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Forename:</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Title (Dr/Mr/Ms/Mrs):</w:t>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Technical qualification:  </w:t>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Job title:</w:t>
      </w: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Organisation:</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Address:</w:t>
      </w:r>
      <w:r>
        <w:rPr>
          <w:sz w:val="20"/>
          <w:szCs w:val="20"/>
        </w:rPr>
        <w:tab/>
      </w:r>
      <w:r>
        <w:rPr>
          <w:sz w:val="20"/>
          <w:szCs w:val="20"/>
        </w:rPr>
        <w:tab/>
      </w:r>
      <w:r>
        <w:rPr>
          <w:sz w:val="20"/>
          <w:szCs w:val="20"/>
        </w:rPr>
        <w:tab/>
        <w:t xml:space="preserve"> 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b/>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Daytime Telephone No:</w:t>
      </w:r>
      <w:r>
        <w:rPr>
          <w:sz w:val="20"/>
          <w:szCs w:val="20"/>
        </w:rPr>
        <w:tab/>
        <w:t xml:space="preserve"> _______________________________________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Pr="00B616B8" w:rsidRDefault="00B616B8">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Attended previous course:</w:t>
      </w:r>
      <w:r w:rsidR="00FB741E">
        <w:rPr>
          <w:sz w:val="20"/>
          <w:szCs w:val="20"/>
        </w:rPr>
        <w:tab/>
      </w:r>
      <w:r w:rsidR="00FB741E">
        <w:rPr>
          <w:sz w:val="20"/>
          <w:szCs w:val="20"/>
        </w:rPr>
        <w:tab/>
      </w:r>
      <w:r>
        <w:rPr>
          <w:sz w:val="20"/>
          <w:szCs w:val="20"/>
        </w:rPr>
        <w:t>Yes</w:t>
      </w:r>
      <w:r>
        <w:rPr>
          <w:sz w:val="20"/>
          <w:szCs w:val="20"/>
        </w:rPr>
        <w:tab/>
      </w:r>
      <w:r w:rsidRPr="00B616B8">
        <w:rPr>
          <w:sz w:val="36"/>
          <w:szCs w:val="36"/>
        </w:rPr>
        <w:sym w:font="Wingdings 2" w:char="F0A3"/>
      </w:r>
      <w:r>
        <w:rPr>
          <w:sz w:val="36"/>
          <w:szCs w:val="36"/>
        </w:rPr>
        <w:tab/>
      </w:r>
      <w:r>
        <w:rPr>
          <w:sz w:val="36"/>
          <w:szCs w:val="36"/>
        </w:rPr>
        <w:tab/>
      </w:r>
      <w:r>
        <w:rPr>
          <w:sz w:val="20"/>
          <w:szCs w:val="20"/>
        </w:rPr>
        <w:t>No</w:t>
      </w:r>
      <w:r>
        <w:rPr>
          <w:sz w:val="20"/>
          <w:szCs w:val="20"/>
        </w:rPr>
        <w:tab/>
      </w:r>
      <w:r w:rsidRPr="00B616B8">
        <w:rPr>
          <w:sz w:val="36"/>
          <w:szCs w:val="36"/>
        </w:rPr>
        <w:sym w:font="Wingdings 2" w:char="F0A3"/>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EA778C" w:rsidRDefault="00E43AF6">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Hot </w:t>
      </w:r>
      <w:r w:rsidR="00156967">
        <w:rPr>
          <w:sz w:val="20"/>
          <w:szCs w:val="20"/>
        </w:rPr>
        <w:t>option</w:t>
      </w:r>
      <w:r w:rsidR="002E3349">
        <w:rPr>
          <w:sz w:val="20"/>
          <w:szCs w:val="20"/>
        </w:rPr>
        <w:t xml:space="preserve"> available</w:t>
      </w:r>
    </w:p>
    <w:p w:rsidR="00EA778C" w:rsidRDefault="00EA778C">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Special dietary request:      _______________________________________       </w:t>
      </w:r>
    </w:p>
    <w:p w:rsidR="00EA778C" w:rsidRDefault="00EA778C">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E-mail address:</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Signature:</w:t>
      </w:r>
      <w:r>
        <w:rPr>
          <w:sz w:val="20"/>
          <w:szCs w:val="20"/>
        </w:rPr>
        <w:tab/>
      </w:r>
      <w:r>
        <w:rPr>
          <w:sz w:val="20"/>
          <w:szCs w:val="20"/>
        </w:rPr>
        <w:tab/>
        <w:t xml:space="preserve">_______________________________________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Date: </w:t>
      </w: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b/>
          <w:bCs/>
          <w:sz w:val="20"/>
          <w:szCs w:val="20"/>
        </w:rPr>
      </w:pPr>
    </w:p>
    <w:p w:rsidR="00FB741E" w:rsidRDefault="00377B49">
      <w:pPr>
        <w:pStyle w:val="BodyText3"/>
        <w:pBdr>
          <w:top w:val="single" w:sz="4" w:space="12" w:color="auto" w:shadow="1"/>
          <w:left w:val="single" w:sz="4" w:space="31" w:color="auto" w:shadow="1"/>
          <w:bottom w:val="single" w:sz="4" w:space="17" w:color="auto" w:shadow="1"/>
          <w:right w:val="single" w:sz="4" w:space="31" w:color="auto" w:shadow="1"/>
        </w:pBdr>
        <w:rPr>
          <w:b/>
          <w:bCs/>
          <w:sz w:val="18"/>
          <w:szCs w:val="18"/>
        </w:rPr>
      </w:pPr>
      <w:r>
        <w:rPr>
          <w:b/>
          <w:bCs/>
          <w:sz w:val="18"/>
          <w:szCs w:val="18"/>
        </w:rPr>
        <w:t>COST OF COURSE</w:t>
      </w:r>
      <w:r w:rsidR="00FB741E">
        <w:rPr>
          <w:b/>
          <w:bCs/>
          <w:sz w:val="18"/>
          <w:szCs w:val="18"/>
        </w:rPr>
        <w:t xml:space="preserve"> €</w:t>
      </w:r>
      <w:r w:rsidR="00015BD7">
        <w:rPr>
          <w:b/>
          <w:bCs/>
          <w:sz w:val="21"/>
          <w:szCs w:val="21"/>
        </w:rPr>
        <w:t xml:space="preserve">550.00 </w:t>
      </w:r>
      <w:r w:rsidR="00FB741E">
        <w:rPr>
          <w:b/>
          <w:bCs/>
          <w:sz w:val="18"/>
          <w:szCs w:val="18"/>
        </w:rPr>
        <w:t>(INCLUDES COURSE MATERIALS, LUNCH &amp; COFFEE BREAKS)</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bCs/>
          <w:sz w:val="20"/>
          <w:szCs w:val="20"/>
        </w:rPr>
      </w:pPr>
    </w:p>
    <w:p w:rsidR="00FB741E" w:rsidRPr="007F79E0"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sz w:val="20"/>
          <w:szCs w:val="20"/>
        </w:rPr>
      </w:pPr>
      <w:r>
        <w:rPr>
          <w:sz w:val="20"/>
          <w:szCs w:val="20"/>
        </w:rPr>
        <w:t>Payment by cheque/bankers draft to be made payable to “</w:t>
      </w:r>
      <w:r w:rsidR="00931C7D">
        <w:rPr>
          <w:b/>
          <w:bCs/>
          <w:sz w:val="20"/>
          <w:szCs w:val="20"/>
        </w:rPr>
        <w:t>St. James’s Hospital Foundation</w:t>
      </w:r>
      <w:r>
        <w:rPr>
          <w:sz w:val="20"/>
          <w:szCs w:val="20"/>
        </w:rPr>
        <w:t xml:space="preserve">”.  Visa card accepted only but please note there is a service charge of 2.5%.  Bank transfers also accepted please contact the centre for details.  *Please use NCPE invoice number or your company name/your own name as a reference with all bank transfers, cheques and drafts, </w:t>
      </w:r>
      <w:r w:rsidRPr="007F79E0">
        <w:rPr>
          <w:b/>
          <w:sz w:val="20"/>
          <w:szCs w:val="20"/>
        </w:rPr>
        <w:t>this is important for tracing.</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Pr="00D74EA1"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color w:val="FF0000"/>
          <w:sz w:val="20"/>
          <w:szCs w:val="20"/>
        </w:rPr>
      </w:pPr>
      <w:r w:rsidRPr="00D74EA1">
        <w:rPr>
          <w:b/>
          <w:color w:val="FF0000"/>
          <w:sz w:val="20"/>
          <w:szCs w:val="20"/>
        </w:rPr>
        <w:t>Note: Confirmation of place on the course is not guaranteed until payment is received.</w:t>
      </w:r>
    </w:p>
    <w:p w:rsidR="00FB741E" w:rsidRPr="00A40C8A"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bCs/>
          <w:sz w:val="20"/>
          <w:szCs w:val="20"/>
        </w:rPr>
      </w:pPr>
      <w:r>
        <w:rPr>
          <w:b/>
          <w:bCs/>
          <w:sz w:val="20"/>
          <w:szCs w:val="20"/>
        </w:rPr>
        <w:t>ACADEMIC STUDENT DISCOUNTS AVAILABLE, GROUP DISCOUNTS AVAILABLE ONLY ON MULTIPLE BOOKINGS *</w:t>
      </w:r>
      <w:r w:rsidR="00215790" w:rsidRPr="00215790">
        <w:rPr>
          <w:bCs/>
          <w:sz w:val="20"/>
          <w:szCs w:val="20"/>
        </w:rPr>
        <w:t>only</w:t>
      </w:r>
      <w:r w:rsidR="00215790">
        <w:rPr>
          <w:b/>
          <w:bCs/>
          <w:sz w:val="20"/>
          <w:szCs w:val="20"/>
        </w:rPr>
        <w:t xml:space="preserve"> </w:t>
      </w:r>
      <w:r w:rsidRPr="00211CE4">
        <w:rPr>
          <w:bCs/>
          <w:sz w:val="20"/>
          <w:szCs w:val="20"/>
        </w:rPr>
        <w:t>at time of first booking</w:t>
      </w:r>
      <w:r>
        <w:rPr>
          <w:b/>
          <w:bCs/>
          <w:sz w:val="20"/>
          <w:szCs w:val="20"/>
        </w:rPr>
        <w:t xml:space="preserve"> </w:t>
      </w:r>
      <w:r>
        <w:rPr>
          <w:sz w:val="20"/>
          <w:szCs w:val="20"/>
        </w:rPr>
        <w:t>– contact Centre for details.</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sidRPr="00C87054">
        <w:rPr>
          <w:sz w:val="24"/>
          <w:szCs w:val="24"/>
        </w:rPr>
        <w:t>All participants who complete the course will receive a certificate of attendance</w:t>
      </w:r>
      <w:r>
        <w:rPr>
          <w:sz w:val="20"/>
          <w:szCs w:val="20"/>
        </w:rPr>
        <w:t>.</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b/>
          <w:bCs/>
          <w:sz w:val="20"/>
          <w:szCs w:val="20"/>
        </w:rPr>
        <w:t>MAILING LIST DETAILS</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u w:val="single"/>
        </w:rPr>
      </w:pPr>
      <w:r>
        <w:rPr>
          <w:sz w:val="20"/>
          <w:szCs w:val="20"/>
        </w:rPr>
        <w:t xml:space="preserve">I wish to be added to your mailing list </w:t>
      </w:r>
      <w:r>
        <w:rPr>
          <w:sz w:val="20"/>
          <w:szCs w:val="20"/>
        </w:rPr>
        <w:tab/>
        <w:t>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My mailing details are as outlined above</w:t>
      </w:r>
      <w:r>
        <w:rPr>
          <w:sz w:val="20"/>
          <w:szCs w:val="20"/>
        </w:rPr>
        <w:tab/>
        <w:t>__       or as detailed below:</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Address:</w:t>
      </w:r>
      <w:r>
        <w:rPr>
          <w:sz w:val="20"/>
          <w:szCs w:val="20"/>
        </w:rPr>
        <w:tab/>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b/>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E-mail address:</w:t>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sz w:val="20"/>
          <w:szCs w:val="20"/>
        </w:rPr>
        <w:t xml:space="preserve">Visit our webpage at </w:t>
      </w:r>
      <w:hyperlink r:id="rId8" w:history="1">
        <w:r w:rsidRPr="00BE33AD">
          <w:rPr>
            <w:rStyle w:val="Hyperlink"/>
            <w:sz w:val="20"/>
            <w:szCs w:val="20"/>
          </w:rPr>
          <w:t>www.ncpe.ie</w:t>
        </w:r>
      </w:hyperlink>
      <w:r>
        <w:rPr>
          <w:sz w:val="20"/>
          <w:szCs w:val="20"/>
        </w:rPr>
        <w:t xml:space="preserve"> for further information about the National Centre for Pharmacoeconomics.</w:t>
      </w:r>
    </w:p>
    <w:sectPr w:rsidR="00FB741E" w:rsidSect="007F79E0">
      <w:pgSz w:w="11906" w:h="16838" w:code="9"/>
      <w:pgMar w:top="360" w:right="1106"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7FD"/>
    <w:multiLevelType w:val="hybridMultilevel"/>
    <w:tmpl w:val="579A2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B520565"/>
    <w:multiLevelType w:val="hybridMultilevel"/>
    <w:tmpl w:val="36F6D8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7C"/>
    <w:rsid w:val="00007E65"/>
    <w:rsid w:val="00015BD7"/>
    <w:rsid w:val="00082AD5"/>
    <w:rsid w:val="000A21A6"/>
    <w:rsid w:val="000A2330"/>
    <w:rsid w:val="000C2AA1"/>
    <w:rsid w:val="000E2E09"/>
    <w:rsid w:val="00156967"/>
    <w:rsid w:val="00211CE4"/>
    <w:rsid w:val="00215790"/>
    <w:rsid w:val="0028425F"/>
    <w:rsid w:val="002E3349"/>
    <w:rsid w:val="00377B49"/>
    <w:rsid w:val="00394BA8"/>
    <w:rsid w:val="004A1A8E"/>
    <w:rsid w:val="004A402C"/>
    <w:rsid w:val="0050600F"/>
    <w:rsid w:val="00513093"/>
    <w:rsid w:val="00520A7C"/>
    <w:rsid w:val="00521185"/>
    <w:rsid w:val="005246FB"/>
    <w:rsid w:val="00575607"/>
    <w:rsid w:val="005D5D4D"/>
    <w:rsid w:val="006012CB"/>
    <w:rsid w:val="00614642"/>
    <w:rsid w:val="00685899"/>
    <w:rsid w:val="006940A0"/>
    <w:rsid w:val="006B6840"/>
    <w:rsid w:val="00713E91"/>
    <w:rsid w:val="007B621C"/>
    <w:rsid w:val="007C135F"/>
    <w:rsid w:val="007D0FCB"/>
    <w:rsid w:val="007D24D0"/>
    <w:rsid w:val="007F79E0"/>
    <w:rsid w:val="008C2408"/>
    <w:rsid w:val="008D051D"/>
    <w:rsid w:val="00931C7D"/>
    <w:rsid w:val="00943B52"/>
    <w:rsid w:val="00966DD9"/>
    <w:rsid w:val="00966FA3"/>
    <w:rsid w:val="0099407E"/>
    <w:rsid w:val="009C2555"/>
    <w:rsid w:val="00A07374"/>
    <w:rsid w:val="00A1200C"/>
    <w:rsid w:val="00A25698"/>
    <w:rsid w:val="00A40C8A"/>
    <w:rsid w:val="00A50C0D"/>
    <w:rsid w:val="00A51479"/>
    <w:rsid w:val="00A51D7E"/>
    <w:rsid w:val="00A62628"/>
    <w:rsid w:val="00AA5210"/>
    <w:rsid w:val="00AC4DC8"/>
    <w:rsid w:val="00B51880"/>
    <w:rsid w:val="00B614F3"/>
    <w:rsid w:val="00B616B8"/>
    <w:rsid w:val="00B64CF0"/>
    <w:rsid w:val="00BA1268"/>
    <w:rsid w:val="00BB403C"/>
    <w:rsid w:val="00BE33AD"/>
    <w:rsid w:val="00BF2F11"/>
    <w:rsid w:val="00C104E0"/>
    <w:rsid w:val="00C16B57"/>
    <w:rsid w:val="00C323CC"/>
    <w:rsid w:val="00C87054"/>
    <w:rsid w:val="00CB359D"/>
    <w:rsid w:val="00D02262"/>
    <w:rsid w:val="00D0750D"/>
    <w:rsid w:val="00D410C5"/>
    <w:rsid w:val="00D5559E"/>
    <w:rsid w:val="00D74EA1"/>
    <w:rsid w:val="00E40FCD"/>
    <w:rsid w:val="00E43AF6"/>
    <w:rsid w:val="00E4568E"/>
    <w:rsid w:val="00E6076E"/>
    <w:rsid w:val="00E73CED"/>
    <w:rsid w:val="00EA0A2E"/>
    <w:rsid w:val="00EA778C"/>
    <w:rsid w:val="00EB62A3"/>
    <w:rsid w:val="00EC427E"/>
    <w:rsid w:val="00EC6681"/>
    <w:rsid w:val="00F2271B"/>
    <w:rsid w:val="00F82235"/>
    <w:rsid w:val="00F9452D"/>
    <w:rsid w:val="00FA52E3"/>
    <w:rsid w:val="00FB741E"/>
    <w:rsid w:val="00FC203B"/>
    <w:rsid w:val="00FD37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tabs>
        <w:tab w:val="left" w:pos="1620"/>
        <w:tab w:val="left" w:pos="1980"/>
      </w:tabs>
      <w:ind w:left="1080" w:firstLine="360"/>
      <w:jc w:val="both"/>
      <w:outlineLvl w:val="0"/>
    </w:pPr>
    <w:rPr>
      <w:sz w:val="28"/>
      <w:szCs w:val="28"/>
    </w:rPr>
  </w:style>
  <w:style w:type="paragraph" w:styleId="Heading2">
    <w:name w:val="heading 2"/>
    <w:basedOn w:val="Normal"/>
    <w:next w:val="Normal"/>
    <w:link w:val="Heading2Char"/>
    <w:uiPriority w:val="9"/>
    <w:qFormat/>
    <w:pPr>
      <w:keepNext/>
      <w:outlineLvl w:val="1"/>
    </w:pPr>
    <w:rPr>
      <w:rFonts w:eastAsia="Arial Unicode MS"/>
      <w:b/>
      <w:bCs/>
      <w:sz w:val="36"/>
      <w:szCs w:val="36"/>
    </w:rPr>
  </w:style>
  <w:style w:type="paragraph" w:styleId="Heading3">
    <w:name w:val="heading 3"/>
    <w:basedOn w:val="Normal"/>
    <w:next w:val="Normal"/>
    <w:link w:val="Heading3Char"/>
    <w:uiPriority w:val="9"/>
    <w:qFormat/>
    <w:pPr>
      <w:keepNext/>
      <w:outlineLvl w:val="2"/>
    </w:pPr>
    <w:rPr>
      <w:b/>
      <w:bCs/>
      <w:sz w:val="28"/>
      <w:szCs w:val="28"/>
    </w:rPr>
  </w:style>
  <w:style w:type="paragraph" w:styleId="Heading4">
    <w:name w:val="heading 4"/>
    <w:basedOn w:val="Normal"/>
    <w:next w:val="Normal"/>
    <w:link w:val="Heading4Char"/>
    <w:uiPriority w:val="9"/>
    <w:qFormat/>
    <w:pPr>
      <w:keepNext/>
      <w:jc w:val="center"/>
      <w:outlineLvl w:val="3"/>
    </w:pPr>
    <w:rPr>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0A"/>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F600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F600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F600A"/>
    <w:rPr>
      <w:rFonts w:asciiTheme="minorHAnsi" w:eastAsiaTheme="minorEastAsia" w:hAnsiTheme="minorHAnsi" w:cstheme="minorBidi"/>
      <w:b/>
      <w:bCs/>
      <w:sz w:val="28"/>
      <w:szCs w:val="28"/>
      <w:lang w:val="en-GB" w:eastAsia="en-US"/>
    </w:rPr>
  </w:style>
  <w:style w:type="paragraph" w:styleId="BodyText">
    <w:name w:val="Body Text"/>
    <w:basedOn w:val="Normal"/>
    <w:link w:val="BodyTextChar"/>
    <w:uiPriority w:val="99"/>
    <w:rPr>
      <w:b/>
      <w:bCs/>
      <w:sz w:val="36"/>
      <w:szCs w:val="36"/>
    </w:rPr>
  </w:style>
  <w:style w:type="character" w:customStyle="1" w:styleId="BodyTextChar">
    <w:name w:val="Body Text Char"/>
    <w:basedOn w:val="DefaultParagraphFont"/>
    <w:link w:val="BodyText"/>
    <w:uiPriority w:val="99"/>
    <w:semiHidden/>
    <w:rsid w:val="009F600A"/>
    <w:rPr>
      <w:sz w:val="24"/>
      <w:szCs w:val="24"/>
      <w:lang w:val="en-GB" w:eastAsia="en-US"/>
    </w:rPr>
  </w:style>
  <w:style w:type="paragraph" w:styleId="BodyText3">
    <w:name w:val="Body Text 3"/>
    <w:basedOn w:val="Normal"/>
    <w:link w:val="BodyText3Char"/>
    <w:uiPriority w:val="99"/>
    <w:rPr>
      <w:sz w:val="32"/>
      <w:szCs w:val="32"/>
    </w:rPr>
  </w:style>
  <w:style w:type="character" w:customStyle="1" w:styleId="BodyText3Char">
    <w:name w:val="Body Text 3 Char"/>
    <w:basedOn w:val="DefaultParagraphFont"/>
    <w:link w:val="BodyText3"/>
    <w:uiPriority w:val="99"/>
    <w:semiHidden/>
    <w:rsid w:val="009F600A"/>
    <w:rPr>
      <w:sz w:val="16"/>
      <w:szCs w:val="16"/>
      <w:lang w:val="en-GB" w:eastAsia="en-US"/>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F600A"/>
    <w:rPr>
      <w:sz w:val="0"/>
      <w:szCs w:val="0"/>
      <w:lang w:val="en-GB" w:eastAsia="en-US"/>
    </w:rPr>
  </w:style>
  <w:style w:type="paragraph" w:styleId="BodyText2">
    <w:name w:val="Body Text 2"/>
    <w:basedOn w:val="Normal"/>
    <w:link w:val="BodyText2Char"/>
    <w:uiPriority w:val="99"/>
    <w:pPr>
      <w:framePr w:hSpace="180" w:wrap="auto" w:vAnchor="text" w:hAnchor="page" w:x="610" w:y="539"/>
      <w:jc w:val="center"/>
    </w:pPr>
    <w:rPr>
      <w:b/>
      <w:bCs/>
      <w:color w:val="FF0000"/>
      <w:sz w:val="28"/>
      <w:szCs w:val="28"/>
    </w:rPr>
  </w:style>
  <w:style w:type="character" w:customStyle="1" w:styleId="BodyText2Char">
    <w:name w:val="Body Text 2 Char"/>
    <w:basedOn w:val="DefaultParagraphFont"/>
    <w:link w:val="BodyText2"/>
    <w:uiPriority w:val="99"/>
    <w:semiHidden/>
    <w:rsid w:val="009F600A"/>
    <w:rPr>
      <w:sz w:val="24"/>
      <w:szCs w:val="24"/>
      <w:lang w:val="en-GB" w:eastAsia="en-US"/>
    </w:rPr>
  </w:style>
  <w:style w:type="paragraph" w:styleId="BalloonText">
    <w:name w:val="Balloon Text"/>
    <w:basedOn w:val="Normal"/>
    <w:link w:val="BalloonTextChar"/>
    <w:rsid w:val="00E40FCD"/>
    <w:rPr>
      <w:rFonts w:ascii="Tahoma" w:hAnsi="Tahoma" w:cs="Tahoma"/>
      <w:sz w:val="16"/>
      <w:szCs w:val="16"/>
    </w:rPr>
  </w:style>
  <w:style w:type="character" w:customStyle="1" w:styleId="BalloonTextChar">
    <w:name w:val="Balloon Text Char"/>
    <w:basedOn w:val="DefaultParagraphFont"/>
    <w:link w:val="BalloonText"/>
    <w:rsid w:val="00E40FC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tabs>
        <w:tab w:val="left" w:pos="1620"/>
        <w:tab w:val="left" w:pos="1980"/>
      </w:tabs>
      <w:ind w:left="1080" w:firstLine="360"/>
      <w:jc w:val="both"/>
      <w:outlineLvl w:val="0"/>
    </w:pPr>
    <w:rPr>
      <w:sz w:val="28"/>
      <w:szCs w:val="28"/>
    </w:rPr>
  </w:style>
  <w:style w:type="paragraph" w:styleId="Heading2">
    <w:name w:val="heading 2"/>
    <w:basedOn w:val="Normal"/>
    <w:next w:val="Normal"/>
    <w:link w:val="Heading2Char"/>
    <w:uiPriority w:val="9"/>
    <w:qFormat/>
    <w:pPr>
      <w:keepNext/>
      <w:outlineLvl w:val="1"/>
    </w:pPr>
    <w:rPr>
      <w:rFonts w:eastAsia="Arial Unicode MS"/>
      <w:b/>
      <w:bCs/>
      <w:sz w:val="36"/>
      <w:szCs w:val="36"/>
    </w:rPr>
  </w:style>
  <w:style w:type="paragraph" w:styleId="Heading3">
    <w:name w:val="heading 3"/>
    <w:basedOn w:val="Normal"/>
    <w:next w:val="Normal"/>
    <w:link w:val="Heading3Char"/>
    <w:uiPriority w:val="9"/>
    <w:qFormat/>
    <w:pPr>
      <w:keepNext/>
      <w:outlineLvl w:val="2"/>
    </w:pPr>
    <w:rPr>
      <w:b/>
      <w:bCs/>
      <w:sz w:val="28"/>
      <w:szCs w:val="28"/>
    </w:rPr>
  </w:style>
  <w:style w:type="paragraph" w:styleId="Heading4">
    <w:name w:val="heading 4"/>
    <w:basedOn w:val="Normal"/>
    <w:next w:val="Normal"/>
    <w:link w:val="Heading4Char"/>
    <w:uiPriority w:val="9"/>
    <w:qFormat/>
    <w:pPr>
      <w:keepNext/>
      <w:jc w:val="center"/>
      <w:outlineLvl w:val="3"/>
    </w:pPr>
    <w:rPr>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0A"/>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F600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F600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F600A"/>
    <w:rPr>
      <w:rFonts w:asciiTheme="minorHAnsi" w:eastAsiaTheme="minorEastAsia" w:hAnsiTheme="minorHAnsi" w:cstheme="minorBidi"/>
      <w:b/>
      <w:bCs/>
      <w:sz w:val="28"/>
      <w:szCs w:val="28"/>
      <w:lang w:val="en-GB" w:eastAsia="en-US"/>
    </w:rPr>
  </w:style>
  <w:style w:type="paragraph" w:styleId="BodyText">
    <w:name w:val="Body Text"/>
    <w:basedOn w:val="Normal"/>
    <w:link w:val="BodyTextChar"/>
    <w:uiPriority w:val="99"/>
    <w:rPr>
      <w:b/>
      <w:bCs/>
      <w:sz w:val="36"/>
      <w:szCs w:val="36"/>
    </w:rPr>
  </w:style>
  <w:style w:type="character" w:customStyle="1" w:styleId="BodyTextChar">
    <w:name w:val="Body Text Char"/>
    <w:basedOn w:val="DefaultParagraphFont"/>
    <w:link w:val="BodyText"/>
    <w:uiPriority w:val="99"/>
    <w:semiHidden/>
    <w:rsid w:val="009F600A"/>
    <w:rPr>
      <w:sz w:val="24"/>
      <w:szCs w:val="24"/>
      <w:lang w:val="en-GB" w:eastAsia="en-US"/>
    </w:rPr>
  </w:style>
  <w:style w:type="paragraph" w:styleId="BodyText3">
    <w:name w:val="Body Text 3"/>
    <w:basedOn w:val="Normal"/>
    <w:link w:val="BodyText3Char"/>
    <w:uiPriority w:val="99"/>
    <w:rPr>
      <w:sz w:val="32"/>
      <w:szCs w:val="32"/>
    </w:rPr>
  </w:style>
  <w:style w:type="character" w:customStyle="1" w:styleId="BodyText3Char">
    <w:name w:val="Body Text 3 Char"/>
    <w:basedOn w:val="DefaultParagraphFont"/>
    <w:link w:val="BodyText3"/>
    <w:uiPriority w:val="99"/>
    <w:semiHidden/>
    <w:rsid w:val="009F600A"/>
    <w:rPr>
      <w:sz w:val="16"/>
      <w:szCs w:val="16"/>
      <w:lang w:val="en-GB" w:eastAsia="en-US"/>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F600A"/>
    <w:rPr>
      <w:sz w:val="0"/>
      <w:szCs w:val="0"/>
      <w:lang w:val="en-GB" w:eastAsia="en-US"/>
    </w:rPr>
  </w:style>
  <w:style w:type="paragraph" w:styleId="BodyText2">
    <w:name w:val="Body Text 2"/>
    <w:basedOn w:val="Normal"/>
    <w:link w:val="BodyText2Char"/>
    <w:uiPriority w:val="99"/>
    <w:pPr>
      <w:framePr w:hSpace="180" w:wrap="auto" w:vAnchor="text" w:hAnchor="page" w:x="610" w:y="539"/>
      <w:jc w:val="center"/>
    </w:pPr>
    <w:rPr>
      <w:b/>
      <w:bCs/>
      <w:color w:val="FF0000"/>
      <w:sz w:val="28"/>
      <w:szCs w:val="28"/>
    </w:rPr>
  </w:style>
  <w:style w:type="character" w:customStyle="1" w:styleId="BodyText2Char">
    <w:name w:val="Body Text 2 Char"/>
    <w:basedOn w:val="DefaultParagraphFont"/>
    <w:link w:val="BodyText2"/>
    <w:uiPriority w:val="99"/>
    <w:semiHidden/>
    <w:rsid w:val="009F600A"/>
    <w:rPr>
      <w:sz w:val="24"/>
      <w:szCs w:val="24"/>
      <w:lang w:val="en-GB" w:eastAsia="en-US"/>
    </w:rPr>
  </w:style>
  <w:style w:type="paragraph" w:styleId="BalloonText">
    <w:name w:val="Balloon Text"/>
    <w:basedOn w:val="Normal"/>
    <w:link w:val="BalloonTextChar"/>
    <w:rsid w:val="00E40FCD"/>
    <w:rPr>
      <w:rFonts w:ascii="Tahoma" w:hAnsi="Tahoma" w:cs="Tahoma"/>
      <w:sz w:val="16"/>
      <w:szCs w:val="16"/>
    </w:rPr>
  </w:style>
  <w:style w:type="character" w:customStyle="1" w:styleId="BalloonTextChar">
    <w:name w:val="Balloon Text Char"/>
    <w:basedOn w:val="DefaultParagraphFont"/>
    <w:link w:val="BalloonText"/>
    <w:rsid w:val="00E40FC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e.i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C667-BF6D-4A4C-B101-30406F60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CACT</vt:lpstr>
    </vt:vector>
  </TitlesOfParts>
  <Company>ST. JAMES'S HOSPITAL</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CACT</dc:title>
  <dc:creator>IMS DEPARTMENT</dc:creator>
  <cp:lastModifiedBy>IMS</cp:lastModifiedBy>
  <cp:revision>2</cp:revision>
  <cp:lastPrinted>2017-10-31T09:33:00Z</cp:lastPrinted>
  <dcterms:created xsi:type="dcterms:W3CDTF">2017-11-08T09:16:00Z</dcterms:created>
  <dcterms:modified xsi:type="dcterms:W3CDTF">2017-11-08T09:16:00Z</dcterms:modified>
</cp:coreProperties>
</file>