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2790"/>
        <w:gridCol w:w="3348"/>
        <w:gridCol w:w="2932"/>
        <w:gridCol w:w="3239"/>
      </w:tblGrid>
      <w:tr w:rsidR="00AA6B77" w:rsidRPr="00283680" w14:paraId="142DDCF0" w14:textId="4B53FE05" w:rsidTr="00BE73E6">
        <w:tc>
          <w:tcPr>
            <w:tcW w:w="588" w:type="pct"/>
          </w:tcPr>
          <w:p w14:paraId="7B054A99" w14:textId="77777777" w:rsidR="00AA6B77" w:rsidRPr="00283680" w:rsidRDefault="00AA6B77">
            <w:pPr>
              <w:rPr>
                <w:b/>
              </w:rPr>
            </w:pPr>
          </w:p>
        </w:tc>
        <w:tc>
          <w:tcPr>
            <w:tcW w:w="1000" w:type="pct"/>
          </w:tcPr>
          <w:p w14:paraId="150BC419" w14:textId="77777777" w:rsidR="00AA6B77" w:rsidRPr="00283680" w:rsidRDefault="00AA6B77">
            <w:pPr>
              <w:rPr>
                <w:b/>
              </w:rPr>
            </w:pPr>
            <w:r w:rsidRPr="00283680">
              <w:rPr>
                <w:b/>
              </w:rPr>
              <w:t>Current text</w:t>
            </w:r>
          </w:p>
        </w:tc>
        <w:tc>
          <w:tcPr>
            <w:tcW w:w="1200" w:type="pct"/>
          </w:tcPr>
          <w:p w14:paraId="7F6EB7F0" w14:textId="77777777" w:rsidR="00AA6B77" w:rsidRPr="00283680" w:rsidRDefault="00AA6B77">
            <w:pPr>
              <w:rPr>
                <w:b/>
              </w:rPr>
            </w:pPr>
            <w:r w:rsidRPr="00283680">
              <w:rPr>
                <w:b/>
              </w:rPr>
              <w:t xml:space="preserve">Comment </w:t>
            </w:r>
          </w:p>
        </w:tc>
        <w:tc>
          <w:tcPr>
            <w:tcW w:w="1051" w:type="pct"/>
          </w:tcPr>
          <w:p w14:paraId="55936F9E" w14:textId="77777777" w:rsidR="00AA6B77" w:rsidRPr="00283680" w:rsidRDefault="00AA6B77">
            <w:pPr>
              <w:rPr>
                <w:b/>
              </w:rPr>
            </w:pPr>
            <w:r w:rsidRPr="00283680">
              <w:rPr>
                <w:b/>
              </w:rPr>
              <w:t xml:space="preserve">Suggested amendment </w:t>
            </w:r>
          </w:p>
        </w:tc>
        <w:tc>
          <w:tcPr>
            <w:tcW w:w="1161" w:type="pct"/>
          </w:tcPr>
          <w:p w14:paraId="7044F36F" w14:textId="067E2D87" w:rsidR="00AA6B77" w:rsidRPr="00283680" w:rsidRDefault="00AA6B77">
            <w:pPr>
              <w:rPr>
                <w:b/>
              </w:rPr>
            </w:pPr>
            <w:r>
              <w:rPr>
                <w:b/>
              </w:rPr>
              <w:t>RG comments</w:t>
            </w:r>
          </w:p>
        </w:tc>
      </w:tr>
      <w:tr w:rsidR="00AA6B77" w14:paraId="7C47178E" w14:textId="203BDF90" w:rsidTr="00BE73E6">
        <w:tc>
          <w:tcPr>
            <w:tcW w:w="588" w:type="pct"/>
          </w:tcPr>
          <w:p w14:paraId="3E81A32D" w14:textId="77777777" w:rsidR="00AA6B77" w:rsidRPr="00283680" w:rsidRDefault="00AA6B77" w:rsidP="00283680">
            <w:pPr>
              <w:rPr>
                <w:b/>
              </w:rPr>
            </w:pPr>
            <w:r w:rsidRPr="00283680">
              <w:rPr>
                <w:b/>
              </w:rPr>
              <w:t>Text clarification</w:t>
            </w:r>
          </w:p>
        </w:tc>
        <w:tc>
          <w:tcPr>
            <w:tcW w:w="1000" w:type="pct"/>
          </w:tcPr>
          <w:p w14:paraId="0E5DD3D6" w14:textId="77777777" w:rsidR="00AA6B77" w:rsidRPr="00B42124" w:rsidRDefault="00AA6B77" w:rsidP="00EA4678">
            <w:pPr>
              <w:rPr>
                <w:i/>
              </w:rPr>
            </w:pPr>
            <w:r w:rsidRPr="00B42124">
              <w:rPr>
                <w:i/>
              </w:rPr>
              <w:t xml:space="preserve">‘…however the RG note that patients recruited to the trial were not strictly </w:t>
            </w:r>
          </w:p>
          <w:p w14:paraId="40946E17" w14:textId="06CE180F" w:rsidR="00AA6B77" w:rsidRPr="00B42124" w:rsidRDefault="00AA6B77" w:rsidP="00EA4678">
            <w:pPr>
              <w:rPr>
                <w:i/>
              </w:rPr>
            </w:pPr>
            <w:r w:rsidRPr="00B42124">
              <w:rPr>
                <w:i/>
              </w:rPr>
              <w:t>treatment naïve as trial inclusion/exclusion criteria allowed for patients who had</w:t>
            </w:r>
            <w:r w:rsidR="00C40F48">
              <w:rPr>
                <w:i/>
              </w:rPr>
              <w:t xml:space="preserve"> </w:t>
            </w:r>
            <w:r w:rsidRPr="00B42124">
              <w:rPr>
                <w:i/>
              </w:rPr>
              <w:t xml:space="preserve">previously </w:t>
            </w:r>
          </w:p>
          <w:p w14:paraId="19504EC9" w14:textId="77777777" w:rsidR="00AA6B77" w:rsidRPr="004E5F61" w:rsidRDefault="00AA6B77" w:rsidP="00EA4678">
            <w:pPr>
              <w:rPr>
                <w:i/>
                <w:noProof/>
                <w:lang w:eastAsia="en-GB"/>
              </w:rPr>
            </w:pPr>
            <w:r w:rsidRPr="00B42124">
              <w:rPr>
                <w:i/>
              </w:rPr>
              <w:t xml:space="preserve">been treated with miglustat or ERT </w:t>
            </w:r>
            <w:r w:rsidRPr="00EA4678">
              <w:rPr>
                <w:b/>
                <w:i/>
              </w:rPr>
              <w:t xml:space="preserve">within </w:t>
            </w:r>
            <w:r w:rsidRPr="00267295">
              <w:rPr>
                <w:i/>
              </w:rPr>
              <w:t>6 or 9 months</w:t>
            </w:r>
            <w:r w:rsidRPr="00B42124">
              <w:rPr>
                <w:i/>
              </w:rPr>
              <w:t xml:space="preserve"> prior to randomisation.’</w:t>
            </w:r>
          </w:p>
        </w:tc>
        <w:tc>
          <w:tcPr>
            <w:tcW w:w="1200" w:type="pct"/>
          </w:tcPr>
          <w:p w14:paraId="38EB341C" w14:textId="77777777" w:rsidR="00AA6B77" w:rsidRDefault="00AA6B77" w:rsidP="00381397">
            <w:r>
              <w:t xml:space="preserve">This reads as though patients receiving active treatment with miglustat or ERT in the 6 to 9 months prior to the trial </w:t>
            </w:r>
            <w:r w:rsidRPr="006D2ACC">
              <w:rPr>
                <w:i/>
              </w:rPr>
              <w:t>were</w:t>
            </w:r>
            <w:r>
              <w:t xml:space="preserve"> eligible. </w:t>
            </w:r>
          </w:p>
          <w:p w14:paraId="323AEDC4" w14:textId="77777777" w:rsidR="00AA6B77" w:rsidRDefault="00AA6B77" w:rsidP="00381397"/>
          <w:p w14:paraId="19C038A5" w14:textId="77777777" w:rsidR="00AA6B77" w:rsidRPr="00381397" w:rsidRDefault="00AA6B77" w:rsidP="00381397">
            <w:pPr>
              <w:rPr>
                <w:i/>
                <w:noProof/>
                <w:lang w:eastAsia="en-GB"/>
              </w:rPr>
            </w:pPr>
            <w:r>
              <w:t>From the ENGAGE pivotal study publication, ‘</w:t>
            </w:r>
            <w:r w:rsidRPr="00381397">
              <w:rPr>
                <w:i/>
                <w:noProof/>
                <w:lang w:eastAsia="en-GB"/>
              </w:rPr>
              <w:t xml:space="preserve">Patients were eligible only if they had </w:t>
            </w:r>
            <w:r w:rsidRPr="00267295">
              <w:rPr>
                <w:b/>
                <w:i/>
                <w:noProof/>
                <w:lang w:eastAsia="en-GB"/>
              </w:rPr>
              <w:t>not</w:t>
            </w:r>
            <w:r w:rsidRPr="00381397">
              <w:rPr>
                <w:i/>
                <w:noProof/>
                <w:lang w:eastAsia="en-GB"/>
              </w:rPr>
              <w:t xml:space="preserve"> received treatment with SRT within 6  </w:t>
            </w:r>
          </w:p>
          <w:p w14:paraId="7E49CD82" w14:textId="77777777" w:rsidR="00AA6B77" w:rsidRDefault="00AA6B77" w:rsidP="00267295">
            <w:r w:rsidRPr="00381397">
              <w:rPr>
                <w:i/>
                <w:noProof/>
                <w:lang w:eastAsia="en-GB"/>
              </w:rPr>
              <w:t>months or ERT within 9 months before randomizatio</w:t>
            </w:r>
            <w:r>
              <w:rPr>
                <w:i/>
                <w:noProof/>
                <w:lang w:eastAsia="en-GB"/>
              </w:rPr>
              <w:t>n’ (Mistry et al 2015)</w:t>
            </w:r>
          </w:p>
        </w:tc>
        <w:tc>
          <w:tcPr>
            <w:tcW w:w="1051" w:type="pct"/>
          </w:tcPr>
          <w:p w14:paraId="705DDD93" w14:textId="77777777" w:rsidR="00AA6B77" w:rsidRPr="00B42124" w:rsidRDefault="00AA6B77" w:rsidP="00381397">
            <w:pPr>
              <w:rPr>
                <w:i/>
              </w:rPr>
            </w:pPr>
            <w:r w:rsidRPr="00B42124">
              <w:rPr>
                <w:i/>
              </w:rPr>
              <w:t xml:space="preserve">‘…however the RG note that patients recruited to the trial were not strictly </w:t>
            </w:r>
          </w:p>
          <w:p w14:paraId="5C0A393A" w14:textId="77777777" w:rsidR="00AA6B77" w:rsidRPr="00381397" w:rsidRDefault="00AA6B77" w:rsidP="00381397">
            <w:pPr>
              <w:rPr>
                <w:b/>
                <w:i/>
                <w:noProof/>
                <w:lang w:eastAsia="en-GB"/>
              </w:rPr>
            </w:pPr>
            <w:r w:rsidRPr="00B42124">
              <w:rPr>
                <w:i/>
              </w:rPr>
              <w:t xml:space="preserve">treatment naïve as trial inclusion/exclusion criteria allowed for patients who had previously </w:t>
            </w:r>
            <w:r>
              <w:rPr>
                <w:i/>
              </w:rPr>
              <w:t>received miglustat or ERT</w:t>
            </w:r>
            <w:r w:rsidRPr="00381397">
              <w:rPr>
                <w:b/>
                <w:i/>
              </w:rPr>
              <w:t xml:space="preserve">, but they could not have received </w:t>
            </w:r>
            <w:r w:rsidRPr="00381397">
              <w:rPr>
                <w:b/>
                <w:i/>
                <w:noProof/>
                <w:lang w:eastAsia="en-GB"/>
              </w:rPr>
              <w:t xml:space="preserve">treatment with SRT within 6  </w:t>
            </w:r>
          </w:p>
          <w:p w14:paraId="0F424469" w14:textId="77777777" w:rsidR="00AA6B77" w:rsidRPr="004E5F61" w:rsidRDefault="00AA6B77" w:rsidP="00381397">
            <w:pPr>
              <w:rPr>
                <w:i/>
                <w:noProof/>
                <w:lang w:eastAsia="en-GB"/>
              </w:rPr>
            </w:pPr>
            <w:r w:rsidRPr="00381397">
              <w:rPr>
                <w:b/>
                <w:i/>
                <w:noProof/>
                <w:lang w:eastAsia="en-GB"/>
              </w:rPr>
              <w:t>months or ERT within 9 months before randomization</w:t>
            </w:r>
            <w:r>
              <w:rPr>
                <w:i/>
              </w:rPr>
              <w:t>.’</w:t>
            </w:r>
          </w:p>
        </w:tc>
        <w:tc>
          <w:tcPr>
            <w:tcW w:w="1161" w:type="pct"/>
          </w:tcPr>
          <w:p w14:paraId="62D0957C" w14:textId="7703A251" w:rsidR="002D4270" w:rsidRDefault="002D4270" w:rsidP="002D4270">
            <w:r>
              <w:t xml:space="preserve">Suggest: Amend text. </w:t>
            </w:r>
            <w:r>
              <w:t xml:space="preserve">Suggest change ‘within’ to ‘up to’. </w:t>
            </w:r>
          </w:p>
          <w:p w14:paraId="59AC8B28" w14:textId="77777777" w:rsidR="002D4270" w:rsidRDefault="002D4270" w:rsidP="00381397"/>
          <w:p w14:paraId="5C578886" w14:textId="2BF2EEA4" w:rsidR="002D4270" w:rsidRDefault="00733E41" w:rsidP="00381397">
            <w:r>
              <w:t>The RG</w:t>
            </w:r>
            <w:r w:rsidR="002D4270">
              <w:t xml:space="preserve">’s text ‘within’ was intended to be interpreted as ‘up to’ however the RG </w:t>
            </w:r>
            <w:r>
              <w:t>a</w:t>
            </w:r>
            <w:r w:rsidR="00C40F48">
              <w:t>gree with applicant’s request</w:t>
            </w:r>
            <w:r w:rsidR="002D4270">
              <w:t xml:space="preserve"> to amend the text but suggest that the text reads as follows:</w:t>
            </w:r>
            <w:bookmarkStart w:id="0" w:name="_GoBack"/>
            <w:bookmarkEnd w:id="0"/>
          </w:p>
          <w:p w14:paraId="39208B9E" w14:textId="77777777" w:rsidR="002D4270" w:rsidRPr="002D4270" w:rsidRDefault="002D4270" w:rsidP="002D4270">
            <w:pPr>
              <w:rPr>
                <w:i/>
              </w:rPr>
            </w:pPr>
            <w:r w:rsidRPr="002D4270">
              <w:rPr>
                <w:i/>
              </w:rPr>
              <w:t>‘…</w:t>
            </w:r>
            <w:proofErr w:type="gramStart"/>
            <w:r w:rsidRPr="002D4270">
              <w:rPr>
                <w:i/>
              </w:rPr>
              <w:t>however</w:t>
            </w:r>
            <w:proofErr w:type="gramEnd"/>
            <w:r w:rsidRPr="002D4270">
              <w:rPr>
                <w:i/>
              </w:rPr>
              <w:t xml:space="preserve"> the RG note that patients recruited to the trial were not strictly </w:t>
            </w:r>
          </w:p>
          <w:p w14:paraId="3098FAC7" w14:textId="77777777" w:rsidR="002D4270" w:rsidRPr="002D4270" w:rsidRDefault="002D4270" w:rsidP="002D4270">
            <w:pPr>
              <w:rPr>
                <w:i/>
              </w:rPr>
            </w:pPr>
            <w:r w:rsidRPr="002D4270">
              <w:rPr>
                <w:i/>
              </w:rPr>
              <w:t xml:space="preserve">treatment naïve as trial inclusion/exclusion criteria allowed for patients who had previously </w:t>
            </w:r>
          </w:p>
          <w:p w14:paraId="33FC6311" w14:textId="67069FF6" w:rsidR="00AA6B77" w:rsidRPr="00AA6B77" w:rsidRDefault="002D4270" w:rsidP="002D4270">
            <w:r w:rsidRPr="002D4270">
              <w:rPr>
                <w:i/>
              </w:rPr>
              <w:t>been treated with miglustat or ERT</w:t>
            </w:r>
            <w:r w:rsidRPr="002D4270">
              <w:rPr>
                <w:i/>
                <w:strike/>
              </w:rPr>
              <w:t xml:space="preserve"> </w:t>
            </w:r>
            <w:r w:rsidRPr="002D4270">
              <w:rPr>
                <w:b/>
                <w:i/>
                <w:strike/>
              </w:rPr>
              <w:t>within</w:t>
            </w:r>
            <w:r w:rsidRPr="002D4270">
              <w:rPr>
                <w:b/>
                <w:i/>
              </w:rPr>
              <w:t xml:space="preserve"> </w:t>
            </w:r>
            <w:r w:rsidRPr="002D4270">
              <w:rPr>
                <w:b/>
                <w:i/>
                <w:color w:val="FF0000"/>
              </w:rPr>
              <w:t xml:space="preserve">up to </w:t>
            </w:r>
            <w:r w:rsidRPr="002D4270">
              <w:rPr>
                <w:i/>
              </w:rPr>
              <w:t>6 or 9 months prior to randomisation.</w:t>
            </w:r>
          </w:p>
        </w:tc>
      </w:tr>
      <w:tr w:rsidR="00AA6B77" w14:paraId="63591D2E" w14:textId="74714F26" w:rsidTr="00BE73E6">
        <w:tc>
          <w:tcPr>
            <w:tcW w:w="588" w:type="pct"/>
          </w:tcPr>
          <w:p w14:paraId="4E5F9141" w14:textId="77777777" w:rsidR="00AA6B77" w:rsidRPr="00283680" w:rsidRDefault="00AA6B77" w:rsidP="004A0193">
            <w:pPr>
              <w:rPr>
                <w:b/>
              </w:rPr>
            </w:pPr>
            <w:r w:rsidRPr="00283680">
              <w:rPr>
                <w:b/>
              </w:rPr>
              <w:t>Text clarification</w:t>
            </w:r>
          </w:p>
        </w:tc>
        <w:tc>
          <w:tcPr>
            <w:tcW w:w="1000" w:type="pct"/>
          </w:tcPr>
          <w:p w14:paraId="43544F64" w14:textId="77777777" w:rsidR="00AA6B77" w:rsidRPr="004E5F61" w:rsidRDefault="00AA6B77" w:rsidP="004E5F61">
            <w:pPr>
              <w:rPr>
                <w:i/>
              </w:rPr>
            </w:pPr>
            <w:r w:rsidRPr="004E5F61">
              <w:rPr>
                <w:i/>
                <w:noProof/>
                <w:lang w:eastAsia="en-GB"/>
              </w:rPr>
              <w:t xml:space="preserve">‘The aim of the study was to establish whether patients with GD1 whose disease was considered stable having reached </w:t>
            </w:r>
            <w:r w:rsidRPr="00EA4678">
              <w:rPr>
                <w:b/>
                <w:i/>
                <w:noProof/>
                <w:lang w:eastAsia="en-GB"/>
              </w:rPr>
              <w:t>pre-specified therapuetic goals as defined by Pastores et al 2004</w:t>
            </w:r>
            <w:r w:rsidRPr="004E5F61">
              <w:rPr>
                <w:i/>
                <w:noProof/>
                <w:lang w:eastAsia="en-GB"/>
              </w:rPr>
              <w:t xml:space="preserve"> while receiving ERT for at least 3 years would remain stable after switching to eliglustat therapy. The ENCORE study provides evidence … ‘ </w:t>
            </w:r>
          </w:p>
        </w:tc>
        <w:tc>
          <w:tcPr>
            <w:tcW w:w="1200" w:type="pct"/>
          </w:tcPr>
          <w:p w14:paraId="147694EF" w14:textId="77777777" w:rsidR="00AA6B77" w:rsidRDefault="00AA6B77">
            <w:r>
              <w:t>This could read as though the Pastores defined therapeutic goals were the endpoints in the trial. The endpoints in the trial were defined specifically for the ENCORE trial.</w:t>
            </w:r>
          </w:p>
          <w:p w14:paraId="243C53FE" w14:textId="77777777" w:rsidR="00AA6B77" w:rsidRDefault="00AA6B77" w:rsidP="005F78EE">
            <w:pPr>
              <w:shd w:val="clear" w:color="auto" w:fill="FFFFFF"/>
              <w:spacing w:before="240" w:after="120"/>
              <w:outlineLvl w:val="0"/>
            </w:pPr>
          </w:p>
        </w:tc>
        <w:tc>
          <w:tcPr>
            <w:tcW w:w="1051" w:type="pct"/>
          </w:tcPr>
          <w:p w14:paraId="396EEF78" w14:textId="77777777" w:rsidR="00AA6B77" w:rsidRDefault="00AA6B77" w:rsidP="00B42124">
            <w:pPr>
              <w:rPr>
                <w:i/>
                <w:noProof/>
                <w:lang w:eastAsia="en-GB"/>
              </w:rPr>
            </w:pPr>
            <w:r w:rsidRPr="004E5F61">
              <w:rPr>
                <w:i/>
                <w:noProof/>
                <w:lang w:eastAsia="en-GB"/>
              </w:rPr>
              <w:t xml:space="preserve">The aim of the study was to establish whether patients with GD1 whose disease was considered stable having reached </w:t>
            </w:r>
            <w:r w:rsidRPr="005F175E">
              <w:rPr>
                <w:b/>
                <w:i/>
                <w:noProof/>
                <w:lang w:eastAsia="en-GB"/>
              </w:rPr>
              <w:t xml:space="preserve">pre-specified therapuetic goals </w:t>
            </w:r>
            <w:r>
              <w:rPr>
                <w:b/>
                <w:i/>
                <w:noProof/>
                <w:lang w:eastAsia="en-GB"/>
              </w:rPr>
              <w:t>(</w:t>
            </w:r>
            <w:r w:rsidRPr="005F175E">
              <w:rPr>
                <w:b/>
                <w:i/>
                <w:noProof/>
                <w:lang w:eastAsia="en-GB"/>
              </w:rPr>
              <w:t>Cox et al 2015</w:t>
            </w:r>
            <w:r>
              <w:rPr>
                <w:b/>
                <w:i/>
                <w:noProof/>
                <w:lang w:eastAsia="en-GB"/>
              </w:rPr>
              <w:t xml:space="preserve">) </w:t>
            </w:r>
            <w:r>
              <w:rPr>
                <w:i/>
                <w:noProof/>
                <w:lang w:eastAsia="en-GB"/>
              </w:rPr>
              <w:t xml:space="preserve"> </w:t>
            </w:r>
            <w:r w:rsidRPr="004E5F61">
              <w:rPr>
                <w:i/>
                <w:noProof/>
                <w:lang w:eastAsia="en-GB"/>
              </w:rPr>
              <w:t>while receiving ERT for at least 3 years would remain stable after switching to eliglustat therapy. The ENCORE study provides evidence</w:t>
            </w:r>
          </w:p>
          <w:p w14:paraId="6FE5B146" w14:textId="77777777" w:rsidR="00AA6B77" w:rsidRDefault="00AA6B77" w:rsidP="00B42124">
            <w:pPr>
              <w:rPr>
                <w:i/>
                <w:noProof/>
                <w:lang w:eastAsia="en-GB"/>
              </w:rPr>
            </w:pPr>
          </w:p>
          <w:p w14:paraId="59CEACBC" w14:textId="77777777" w:rsidR="00AA6B77" w:rsidRDefault="00AA6B77" w:rsidP="00267295">
            <w:pPr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lastRenderedPageBreak/>
              <w:t xml:space="preserve">Or  (note commas) </w:t>
            </w:r>
          </w:p>
          <w:p w14:paraId="68C58E1F" w14:textId="77777777" w:rsidR="00AA6B77" w:rsidRDefault="00AA6B77" w:rsidP="00267295">
            <w:pPr>
              <w:rPr>
                <w:i/>
                <w:noProof/>
                <w:lang w:eastAsia="en-GB"/>
              </w:rPr>
            </w:pPr>
          </w:p>
          <w:p w14:paraId="7DEA35B1" w14:textId="77777777" w:rsidR="00AA6B77" w:rsidRDefault="00AA6B77" w:rsidP="00B42124">
            <w:pPr>
              <w:rPr>
                <w:i/>
                <w:noProof/>
                <w:lang w:eastAsia="en-GB"/>
              </w:rPr>
            </w:pPr>
            <w:r w:rsidRPr="004E5F61">
              <w:rPr>
                <w:i/>
                <w:noProof/>
                <w:lang w:eastAsia="en-GB"/>
              </w:rPr>
              <w:t>The aim of the study was to establish whether patients with GD1 whose disease was considered stable</w:t>
            </w:r>
            <w:r w:rsidRPr="00267295">
              <w:rPr>
                <w:b/>
                <w:i/>
                <w:noProof/>
                <w:lang w:eastAsia="en-GB"/>
              </w:rPr>
              <w:t>,</w:t>
            </w:r>
            <w:r w:rsidRPr="004E5F61">
              <w:rPr>
                <w:i/>
                <w:noProof/>
                <w:lang w:eastAsia="en-GB"/>
              </w:rPr>
              <w:t xml:space="preserve"> having </w:t>
            </w:r>
            <w:r w:rsidRPr="00267295">
              <w:rPr>
                <w:i/>
                <w:noProof/>
                <w:lang w:eastAsia="en-GB"/>
              </w:rPr>
              <w:t xml:space="preserve">reached pre-specified therapuetic goals </w:t>
            </w:r>
            <w:r w:rsidRPr="00267295">
              <w:rPr>
                <w:b/>
                <w:i/>
                <w:noProof/>
                <w:lang w:eastAsia="en-GB"/>
              </w:rPr>
              <w:t>based on those</w:t>
            </w:r>
            <w:r w:rsidRPr="00EA4678">
              <w:rPr>
                <w:b/>
                <w:i/>
                <w:noProof/>
                <w:lang w:eastAsia="en-GB"/>
              </w:rPr>
              <w:t xml:space="preserve"> </w:t>
            </w:r>
            <w:r w:rsidRPr="00267295">
              <w:rPr>
                <w:i/>
                <w:noProof/>
                <w:lang w:eastAsia="en-GB"/>
              </w:rPr>
              <w:t>defined by Pastores et al 2004</w:t>
            </w:r>
            <w:r w:rsidRPr="004E5F61">
              <w:rPr>
                <w:i/>
                <w:noProof/>
                <w:lang w:eastAsia="en-GB"/>
              </w:rPr>
              <w:t xml:space="preserve"> while receiving ERT for at least 3 years</w:t>
            </w:r>
            <w:r w:rsidRPr="00267295">
              <w:rPr>
                <w:b/>
                <w:i/>
                <w:noProof/>
                <w:lang w:eastAsia="en-GB"/>
              </w:rPr>
              <w:t>,</w:t>
            </w:r>
            <w:r w:rsidRPr="004E5F61">
              <w:rPr>
                <w:i/>
                <w:noProof/>
                <w:lang w:eastAsia="en-GB"/>
              </w:rPr>
              <w:t xml:space="preserve"> would remain stable after switching to eliglustat therapy. The ENCORE study provides evidence … ‘ </w:t>
            </w:r>
          </w:p>
          <w:p w14:paraId="1D1ABFDD" w14:textId="77777777" w:rsidR="00AA6B77" w:rsidRDefault="00AA6B77" w:rsidP="00B42124">
            <w:pPr>
              <w:rPr>
                <w:i/>
                <w:noProof/>
                <w:lang w:eastAsia="en-GB"/>
              </w:rPr>
            </w:pPr>
          </w:p>
          <w:p w14:paraId="263F3ECE" w14:textId="77777777" w:rsidR="00AA6B77" w:rsidRDefault="00AA6B77" w:rsidP="00B42124"/>
        </w:tc>
        <w:tc>
          <w:tcPr>
            <w:tcW w:w="1161" w:type="pct"/>
          </w:tcPr>
          <w:p w14:paraId="54B61909" w14:textId="77777777" w:rsidR="002D4270" w:rsidRDefault="00BE73E6" w:rsidP="00B42124">
            <w:pPr>
              <w:rPr>
                <w:noProof/>
                <w:lang w:eastAsia="en-GB"/>
              </w:rPr>
            </w:pPr>
            <w:r w:rsidRPr="002D4270">
              <w:rPr>
                <w:b/>
                <w:noProof/>
                <w:lang w:eastAsia="en-GB"/>
              </w:rPr>
              <w:lastRenderedPageBreak/>
              <w:t>Not ammended</w:t>
            </w:r>
            <w:r>
              <w:rPr>
                <w:noProof/>
                <w:lang w:eastAsia="en-GB"/>
              </w:rPr>
              <w:t xml:space="preserve">. </w:t>
            </w:r>
          </w:p>
          <w:p w14:paraId="259347D6" w14:textId="77777777" w:rsidR="002D4270" w:rsidRDefault="002D4270" w:rsidP="00B42124">
            <w:pPr>
              <w:rPr>
                <w:noProof/>
                <w:lang w:eastAsia="en-GB"/>
              </w:rPr>
            </w:pPr>
          </w:p>
          <w:p w14:paraId="39F66C0D" w14:textId="68EB4A6E" w:rsidR="00BA7646" w:rsidRPr="00C40F48" w:rsidRDefault="00BE73E6" w:rsidP="00B421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RG</w:t>
            </w:r>
            <w:r w:rsidR="00C40F48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 xml:space="preserve">does not consider the addition of ‘based on those’ adds any further value </w:t>
            </w:r>
            <w:r w:rsidR="00733E41">
              <w:rPr>
                <w:noProof/>
                <w:lang w:eastAsia="en-GB"/>
              </w:rPr>
              <w:t>in terms of a reader’s understanding of the text</w:t>
            </w:r>
            <w:r>
              <w:rPr>
                <w:noProof/>
                <w:lang w:eastAsia="en-GB"/>
              </w:rPr>
              <w:t>. Furthermore, the applicant had the opportunity to adress this during the FAC and failed to do this.</w:t>
            </w:r>
            <w:r w:rsidR="00C40F48">
              <w:rPr>
                <w:noProof/>
                <w:lang w:eastAsia="en-GB"/>
              </w:rPr>
              <w:t xml:space="preserve"> </w:t>
            </w:r>
          </w:p>
        </w:tc>
      </w:tr>
      <w:tr w:rsidR="00AA6B77" w14:paraId="166EEB02" w14:textId="3D9C0351" w:rsidTr="00BE73E6">
        <w:tc>
          <w:tcPr>
            <w:tcW w:w="588" w:type="pct"/>
          </w:tcPr>
          <w:p w14:paraId="6CC15E53" w14:textId="77777777" w:rsidR="00AA6B77" w:rsidRPr="00283680" w:rsidRDefault="00AA6B77" w:rsidP="004A0193">
            <w:pPr>
              <w:rPr>
                <w:b/>
              </w:rPr>
            </w:pPr>
            <w:r w:rsidRPr="00283680">
              <w:rPr>
                <w:b/>
              </w:rPr>
              <w:t>Text clarification</w:t>
            </w:r>
          </w:p>
        </w:tc>
        <w:tc>
          <w:tcPr>
            <w:tcW w:w="1000" w:type="pct"/>
          </w:tcPr>
          <w:p w14:paraId="514C9694" w14:textId="77777777" w:rsidR="00AA6B77" w:rsidRPr="00381397" w:rsidRDefault="00AA6B77" w:rsidP="00381397">
            <w:pPr>
              <w:rPr>
                <w:i/>
              </w:rPr>
            </w:pPr>
            <w:r w:rsidRPr="00381397">
              <w:rPr>
                <w:i/>
              </w:rPr>
              <w:t xml:space="preserve">The   applicant   estimates   the   gross   budget   impact   of   eliglustat   to   be   approximately </w:t>
            </w:r>
          </w:p>
          <w:p w14:paraId="0239927F" w14:textId="77777777" w:rsidR="00AA6B77" w:rsidRPr="00381397" w:rsidRDefault="00AA6B77" w:rsidP="00304098">
            <w:pPr>
              <w:rPr>
                <w:i/>
              </w:rPr>
            </w:pPr>
            <w:r w:rsidRPr="00381397">
              <w:rPr>
                <w:i/>
              </w:rPr>
              <w:t>€18,094,095 over 5 years.</w:t>
            </w:r>
          </w:p>
          <w:p w14:paraId="75B5C6BC" w14:textId="77777777" w:rsidR="00AA6B77" w:rsidRPr="00B42124" w:rsidRDefault="00AA6B77" w:rsidP="00381397">
            <w:pPr>
              <w:rPr>
                <w:i/>
              </w:rPr>
            </w:pPr>
          </w:p>
        </w:tc>
        <w:tc>
          <w:tcPr>
            <w:tcW w:w="1200" w:type="pct"/>
          </w:tcPr>
          <w:p w14:paraId="599607C5" w14:textId="77777777" w:rsidR="00AA6B77" w:rsidRPr="00381397" w:rsidRDefault="00AA6B77" w:rsidP="003C3F25">
            <w:r w:rsidRPr="00381397">
              <w:t xml:space="preserve">This reads as though the introduction of eliglustat would increase costs to the Irish system by €18,094,095 over 5 years. </w:t>
            </w:r>
            <w:r>
              <w:t xml:space="preserve"> Using all the same assumptions the introduction of eliglustat into Ireland </w:t>
            </w:r>
            <w:r w:rsidRPr="00267295">
              <w:t xml:space="preserve">would </w:t>
            </w:r>
            <w:r w:rsidRPr="00267295">
              <w:rPr>
                <w:b/>
              </w:rPr>
              <w:t>decrease costs by € 1,083,205 over 5 years</w:t>
            </w:r>
            <w:r>
              <w:t xml:space="preserve"> </w:t>
            </w:r>
          </w:p>
        </w:tc>
        <w:tc>
          <w:tcPr>
            <w:tcW w:w="1051" w:type="pct"/>
          </w:tcPr>
          <w:p w14:paraId="6BB4E981" w14:textId="77777777" w:rsidR="00AA6B77" w:rsidRDefault="00AA6B77" w:rsidP="00267295">
            <w:r w:rsidRPr="00381397">
              <w:rPr>
                <w:i/>
              </w:rPr>
              <w:t xml:space="preserve">The   applicant   estimates   the   </w:t>
            </w:r>
            <w:r w:rsidRPr="00267295">
              <w:rPr>
                <w:b/>
                <w:i/>
              </w:rPr>
              <w:t>cost</w:t>
            </w:r>
            <w:r>
              <w:rPr>
                <w:i/>
              </w:rPr>
              <w:t xml:space="preserve"> </w:t>
            </w:r>
            <w:r w:rsidRPr="00304098">
              <w:rPr>
                <w:b/>
                <w:i/>
              </w:rPr>
              <w:t xml:space="preserve">of treating GD in Ireland with eliglustat as a treatment option would be approximately </w:t>
            </w:r>
            <w:r w:rsidRPr="00381397">
              <w:rPr>
                <w:i/>
              </w:rPr>
              <w:t xml:space="preserve">€18,094,095 over 5 years. </w:t>
            </w:r>
          </w:p>
        </w:tc>
        <w:tc>
          <w:tcPr>
            <w:tcW w:w="1161" w:type="pct"/>
          </w:tcPr>
          <w:p w14:paraId="26AF4CE6" w14:textId="72FBF16A" w:rsidR="002D4270" w:rsidRPr="002D4270" w:rsidRDefault="00C40F48" w:rsidP="00267295">
            <w:pPr>
              <w:rPr>
                <w:b/>
              </w:rPr>
            </w:pPr>
            <w:r w:rsidRPr="002D4270">
              <w:rPr>
                <w:b/>
              </w:rPr>
              <w:t>Not amended.</w:t>
            </w:r>
          </w:p>
          <w:p w14:paraId="7F4AB648" w14:textId="77777777" w:rsidR="002D4270" w:rsidRDefault="002D4270" w:rsidP="00267295"/>
          <w:p w14:paraId="0CF088D0" w14:textId="2E25E83A" w:rsidR="00C40F48" w:rsidRDefault="00C40F48" w:rsidP="00267295">
            <w:r>
              <w:t xml:space="preserve">The RG was merely stating the gross budget impact of introducing eliglustat. </w:t>
            </w:r>
            <w:r w:rsidR="00BE73E6">
              <w:t xml:space="preserve">The interpretation of the RG’s statement fails to consider the </w:t>
            </w:r>
            <w:r w:rsidR="00733E41">
              <w:t>text which follows the statement being challenged by the applicant</w:t>
            </w:r>
            <w:r w:rsidR="00BE73E6">
              <w:t>….’</w:t>
            </w:r>
            <w:r w:rsidR="00733E41" w:rsidRPr="00733E41">
              <w:t xml:space="preserve"> The applicant estimates the gross budget impact of eliglustat to be approximately €18,094,095 over 5 years</w:t>
            </w:r>
            <w:r w:rsidR="00733E41">
              <w:t>…</w:t>
            </w:r>
            <w:proofErr w:type="gramStart"/>
            <w:r w:rsidR="00733E41">
              <w:t>….</w:t>
            </w:r>
            <w:r w:rsidRPr="00C40F48">
              <w:t>The</w:t>
            </w:r>
            <w:proofErr w:type="gramEnd"/>
            <w:r w:rsidRPr="00C40F48">
              <w:t xml:space="preserve"> costs included in the applicant’s budget impact analysis were linked with the cost </w:t>
            </w:r>
            <w:r w:rsidRPr="00C40F48">
              <w:lastRenderedPageBreak/>
              <w:t>utility model</w:t>
            </w:r>
            <w:r w:rsidR="00BE73E6">
              <w:t>….</w:t>
            </w:r>
            <w:r w:rsidRPr="00C40F48">
              <w:t xml:space="preserve">. </w:t>
            </w:r>
            <w:r w:rsidR="00BE73E6">
              <w:t>t</w:t>
            </w:r>
            <w:r w:rsidRPr="00C40F48">
              <w:t>he applicant estimates that assumes a market share uptake of 56% in year 1 which translates as 5 patients being eligible for eliglustat therapy in year 1, increasing to 7 patients by year 5. The applicant also included direct medical and social service costs offsets from the introduction of eliglustat</w:t>
            </w:r>
            <w:r w:rsidR="00BE73E6">
              <w:t>.’</w:t>
            </w:r>
          </w:p>
          <w:p w14:paraId="39076C3E" w14:textId="6CD04C81" w:rsidR="00733E41" w:rsidRDefault="00733E41" w:rsidP="00267295"/>
          <w:p w14:paraId="0E13E3BB" w14:textId="33166078" w:rsidR="00733E41" w:rsidRDefault="00733E41" w:rsidP="00267295">
            <w:proofErr w:type="gramStart"/>
            <w:r>
              <w:t>Taking into account</w:t>
            </w:r>
            <w:proofErr w:type="gramEnd"/>
            <w:r>
              <w:t xml:space="preserve"> the paragraph in its entirety, the RG hold the view that the paragraph addresses the applicant’s concerns.</w:t>
            </w:r>
          </w:p>
          <w:p w14:paraId="2538170A" w14:textId="2B8CFC79" w:rsidR="00AA6B77" w:rsidRPr="00C40F48" w:rsidRDefault="00AA6B77" w:rsidP="00267295"/>
        </w:tc>
      </w:tr>
    </w:tbl>
    <w:p w14:paraId="383A69FE" w14:textId="77777777" w:rsidR="00267295" w:rsidRDefault="00267295" w:rsidP="00267295">
      <w:pPr>
        <w:shd w:val="clear" w:color="auto" w:fill="FFFFFF"/>
      </w:pPr>
    </w:p>
    <w:p w14:paraId="34010CF1" w14:textId="77777777" w:rsidR="00267295" w:rsidRPr="00283680" w:rsidRDefault="00283680" w:rsidP="00267295">
      <w:pPr>
        <w:shd w:val="clear" w:color="auto" w:fill="FFFFFF"/>
        <w:rPr>
          <w:b/>
        </w:rPr>
      </w:pPr>
      <w:r w:rsidRPr="00283680">
        <w:rPr>
          <w:b/>
        </w:rPr>
        <w:t>References</w:t>
      </w:r>
    </w:p>
    <w:p w14:paraId="275A40F6" w14:textId="77777777" w:rsidR="00267295" w:rsidRDefault="00267295" w:rsidP="00267295">
      <w:pPr>
        <w:shd w:val="clear" w:color="auto" w:fill="FFFFFF"/>
      </w:pPr>
      <w:r w:rsidRPr="00135222">
        <w:t xml:space="preserve">Mistry PK, </w:t>
      </w:r>
      <w:proofErr w:type="spellStart"/>
      <w:r w:rsidRPr="00135222">
        <w:t>Lukina</w:t>
      </w:r>
      <w:proofErr w:type="spellEnd"/>
      <w:r w:rsidRPr="00135222">
        <w:t xml:space="preserve"> E, Ben </w:t>
      </w:r>
      <w:proofErr w:type="spellStart"/>
      <w:r w:rsidRPr="00135222">
        <w:t>Turkia</w:t>
      </w:r>
      <w:proofErr w:type="spellEnd"/>
      <w:r w:rsidRPr="00135222">
        <w:t xml:space="preserve"> H,</w:t>
      </w:r>
      <w:r>
        <w:t xml:space="preserve"> et al. </w:t>
      </w:r>
      <w:r w:rsidRPr="00135222">
        <w:t xml:space="preserve">Effect of oral eliglustat on splenomegaly in patients with Gaucher disease type 1: the ENGAGE randomized clinical trial. </w:t>
      </w:r>
      <w:r>
        <w:t xml:space="preserve"> </w:t>
      </w:r>
      <w:r w:rsidRPr="00135222">
        <w:t xml:space="preserve">JAMA. 2015 Feb 17;313(7):695-706. </w:t>
      </w:r>
    </w:p>
    <w:p w14:paraId="4C7AD4D0" w14:textId="77777777" w:rsidR="00283680" w:rsidRDefault="00283680" w:rsidP="00267295">
      <w:pPr>
        <w:shd w:val="clear" w:color="auto" w:fill="FFFFFF"/>
      </w:pPr>
    </w:p>
    <w:p w14:paraId="1F43194A" w14:textId="77777777" w:rsidR="00267295" w:rsidRDefault="00267295" w:rsidP="00267295">
      <w:r>
        <w:t xml:space="preserve">Cox TM, </w:t>
      </w:r>
      <w:proofErr w:type="spellStart"/>
      <w:r>
        <w:t>Drelichman</w:t>
      </w:r>
      <w:proofErr w:type="spellEnd"/>
      <w:r>
        <w:t xml:space="preserve"> G, </w:t>
      </w:r>
      <w:proofErr w:type="spellStart"/>
      <w:r>
        <w:t>Cravo</w:t>
      </w:r>
      <w:proofErr w:type="spellEnd"/>
      <w:r>
        <w:t xml:space="preserve"> R, et al. Eliglustat compared with imiglucerase in patients with Gaucher's disease type 1 stabilised on enzyme replacement therapy: a phase 3, randomised, open-label, non-inferiority trial. Lancet. 2015;385(9985):2355-2362. </w:t>
      </w:r>
    </w:p>
    <w:p w14:paraId="6C2DEAAC" w14:textId="77777777" w:rsidR="00267295" w:rsidRDefault="00267295" w:rsidP="00267295"/>
    <w:p w14:paraId="3890AA91" w14:textId="77777777" w:rsidR="00267295" w:rsidRPr="00135222" w:rsidRDefault="00267295" w:rsidP="00267295">
      <w:pPr>
        <w:shd w:val="clear" w:color="auto" w:fill="FFFFFF"/>
      </w:pPr>
    </w:p>
    <w:p w14:paraId="20EC4DAD" w14:textId="77777777" w:rsidR="00267295" w:rsidRDefault="00267295" w:rsidP="00960650"/>
    <w:p w14:paraId="246CA6E3" w14:textId="77777777" w:rsidR="00267295" w:rsidRDefault="00267295" w:rsidP="00960650"/>
    <w:p w14:paraId="774B1F6A" w14:textId="77777777" w:rsidR="00960650" w:rsidRDefault="00960650" w:rsidP="00960650">
      <w:r>
        <w:t>Dear NCPE</w:t>
      </w:r>
    </w:p>
    <w:p w14:paraId="18011441" w14:textId="77777777" w:rsidR="006D5EC6" w:rsidRDefault="00283680" w:rsidP="00960650">
      <w:r>
        <w:t xml:space="preserve">For the purposes of </w:t>
      </w:r>
      <w:r w:rsidR="006D5EC6">
        <w:t>clarity, Sanofi would like to draw y</w:t>
      </w:r>
      <w:r>
        <w:t>our attention to the following minor factual inaccuracies</w:t>
      </w:r>
      <w:r w:rsidR="006D5EC6">
        <w:t xml:space="preserve"> which appeared in the final recommendation document as </w:t>
      </w:r>
      <w:r>
        <w:t xml:space="preserve">published on the NCPE’s website. </w:t>
      </w:r>
    </w:p>
    <w:p w14:paraId="7C72C712" w14:textId="77777777" w:rsidR="00283680" w:rsidRDefault="00283680" w:rsidP="00960650"/>
    <w:p w14:paraId="5A4BE5FD" w14:textId="77777777" w:rsidR="009A5CDD" w:rsidRDefault="009A5CDD"/>
    <w:sectPr w:rsidR="009A5CDD" w:rsidSect="009606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23B4C" w14:textId="77777777" w:rsidR="00283680" w:rsidRDefault="00283680" w:rsidP="00283680">
      <w:r>
        <w:separator/>
      </w:r>
    </w:p>
  </w:endnote>
  <w:endnote w:type="continuationSeparator" w:id="0">
    <w:p w14:paraId="0639FFAE" w14:textId="77777777" w:rsidR="00283680" w:rsidRDefault="00283680" w:rsidP="0028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2FCD8" w14:textId="77777777" w:rsidR="00283680" w:rsidRDefault="00283680" w:rsidP="00283680">
      <w:r>
        <w:separator/>
      </w:r>
    </w:p>
  </w:footnote>
  <w:footnote w:type="continuationSeparator" w:id="0">
    <w:p w14:paraId="4A8D23D1" w14:textId="77777777" w:rsidR="00283680" w:rsidRDefault="00283680" w:rsidP="0028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50"/>
    <w:rsid w:val="00135222"/>
    <w:rsid w:val="00267295"/>
    <w:rsid w:val="00283680"/>
    <w:rsid w:val="002D4270"/>
    <w:rsid w:val="00304098"/>
    <w:rsid w:val="00381397"/>
    <w:rsid w:val="003C3F25"/>
    <w:rsid w:val="004E5F61"/>
    <w:rsid w:val="005F175E"/>
    <w:rsid w:val="005F78EE"/>
    <w:rsid w:val="006D2ACC"/>
    <w:rsid w:val="006D5EC6"/>
    <w:rsid w:val="00733E41"/>
    <w:rsid w:val="00792550"/>
    <w:rsid w:val="007B7B5E"/>
    <w:rsid w:val="00960650"/>
    <w:rsid w:val="009A5CDD"/>
    <w:rsid w:val="00AA6B77"/>
    <w:rsid w:val="00B42124"/>
    <w:rsid w:val="00BA7646"/>
    <w:rsid w:val="00BB7502"/>
    <w:rsid w:val="00BE73E6"/>
    <w:rsid w:val="00C40F48"/>
    <w:rsid w:val="00E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5A1E"/>
  <w15:docId w15:val="{73D93EEE-C78A-4151-B841-3694176B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65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135222"/>
    <w:pPr>
      <w:spacing w:before="240" w:after="12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3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2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5222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83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680"/>
  </w:style>
  <w:style w:type="paragraph" w:styleId="Footer">
    <w:name w:val="footer"/>
    <w:basedOn w:val="Normal"/>
    <w:link w:val="FooterChar"/>
    <w:uiPriority w:val="99"/>
    <w:unhideWhenUsed/>
    <w:rsid w:val="00283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3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1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70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F98A-3CD9-4248-A32F-D1F0D2CC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Claire PH/GB</dc:creator>
  <cp:lastModifiedBy>Ni Choitir, Caitriona (Pharmacoeconomics)</cp:lastModifiedBy>
  <cp:revision>2</cp:revision>
  <dcterms:created xsi:type="dcterms:W3CDTF">2018-05-18T12:04:00Z</dcterms:created>
  <dcterms:modified xsi:type="dcterms:W3CDTF">2018-05-18T12:04:00Z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-1047801889</vt:i4>
  </property>
  <property fmtid="{D5CDD505-2E9C-101B-9397-08002B2CF9AE}" pid="3" name="_NewReviewCycle">
    <vt:lpwstr/>
  </property>
  <property fmtid="{D5CDD505-2E9C-101B-9397-08002B2CF9AE}" pid="4" name="_EmailSubject">
    <vt:lpwstr>NCPE_eliglustat_Outcome</vt:lpwstr>
  </property>
  <property fmtid="{D5CDD505-2E9C-101B-9397-08002B2CF9AE}" pid="5" name="_AuthorEmail">
    <vt:lpwstr>UKIE-HTA@sanofi.com</vt:lpwstr>
  </property>
  <property fmtid="{D5CDD505-2E9C-101B-9397-08002B2CF9AE}" pid="6" name="_AuthorEmailDisplayName">
    <vt:lpwstr>UKIE-HTA /GB</vt:lpwstr>
  </property>
  <property fmtid="{D5CDD505-2E9C-101B-9397-08002B2CF9AE}" pid="7" name="_PreviousAdHocReviewCycleID">
    <vt:i4>829707151</vt:i4>
  </property>
  <property fmtid="{D5CDD505-2E9C-101B-9397-08002B2CF9AE}" pid="8" name="_ReviewingToolsShownOnce">
    <vt:lpwstr/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http://www.zotero.org/styles/apa</vt:lpwstr>
  </property>
  <property fmtid="{D5CDD505-2E9C-101B-9397-08002B2CF9AE}" pid="14" name="Mendeley Recent Style Name 2_1">
    <vt:lpwstr>American Psychological Association 6th edition</vt:lpwstr>
  </property>
  <property fmtid="{D5CDD505-2E9C-101B-9397-08002B2CF9AE}" pid="15" name="Mendeley Recent Style Id 3_1">
    <vt:lpwstr>http://www.zotero.org/styles/american-sociological-association</vt:lpwstr>
  </property>
  <property fmtid="{D5CDD505-2E9C-101B-9397-08002B2CF9AE}" pid="16" name="Mendeley Recent Style Name 3_1">
    <vt:lpwstr>American Sociological Association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16th edition (author-date)</vt:lpwstr>
  </property>
  <property fmtid="{D5CDD505-2E9C-101B-9397-08002B2CF9AE}" pid="19" name="Mendeley Recent Style Id 5_1">
    <vt:lpwstr>http://www.zotero.org/styles/harvard1</vt:lpwstr>
  </property>
  <property fmtid="{D5CDD505-2E9C-101B-9397-08002B2CF9AE}" pid="20" name="Mendeley Recent Style Name 5_1">
    <vt:lpwstr>Harvard Reference format 1 (author-date)</vt:lpwstr>
  </property>
  <property fmtid="{D5CDD505-2E9C-101B-9397-08002B2CF9AE}" pid="21" name="Mendeley Recent Style Id 6_1">
    <vt:lpwstr>http://www.zotero.org/styles/ieee</vt:lpwstr>
  </property>
  <property fmtid="{D5CDD505-2E9C-101B-9397-08002B2CF9AE}" pid="22" name="Mendeley Recent Style Name 6_1">
    <vt:lpwstr>IEEE</vt:lpwstr>
  </property>
  <property fmtid="{D5CDD505-2E9C-101B-9397-08002B2CF9AE}" pid="23" name="Mendeley Recent Style Id 7_1">
    <vt:lpwstr>http://www.zotero.org/styles/modern-humanities-research-association</vt:lpwstr>
  </property>
  <property fmtid="{D5CDD505-2E9C-101B-9397-08002B2CF9AE}" pid="24" name="Mendeley Recent Style Name 7_1">
    <vt:lpwstr>Modern Humanities Research Association 3rd edition (note with bibliography)</vt:lpwstr>
  </property>
  <property fmtid="{D5CDD505-2E9C-101B-9397-08002B2CF9AE}" pid="25" name="Mendeley Recent Style Id 8_1">
    <vt:lpwstr>http://www.zotero.org/styles/modern-language-association</vt:lpwstr>
  </property>
  <property fmtid="{D5CDD505-2E9C-101B-9397-08002B2CF9AE}" pid="26" name="Mendeley Recent Style Name 8_1">
    <vt:lpwstr>Modern Language Association 7th edition</vt:lpwstr>
  </property>
  <property fmtid="{D5CDD505-2E9C-101B-9397-08002B2CF9AE}" pid="27" name="Mendeley Recent Style Id 9_1">
    <vt:lpwstr>http://www.zotero.org/styles/nature</vt:lpwstr>
  </property>
  <property fmtid="{D5CDD505-2E9C-101B-9397-08002B2CF9AE}" pid="28" name="Mendeley Recent Style Name 9_1">
    <vt:lpwstr>Nature</vt:lpwstr>
  </property>
</Properties>
</file>